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65A9C" w:rsidRDefault="00365A9C"/>
    <w:p w:rsidR="0078408A" w:rsidRPr="0078408A" w:rsidRDefault="0078408A" w:rsidP="0078408A">
      <w:pPr>
        <w:spacing w:before="100" w:beforeAutospacing="1" w:after="100" w:afterAutospacing="1" w:line="240" w:lineRule="auto"/>
        <w:outlineLvl w:val="0"/>
        <w:rPr>
          <w:rFonts w:ascii="Times New Roman" w:eastAsia="Times New Roman" w:hAnsi="Times New Roman" w:cs="Times New Roman"/>
          <w:b/>
          <w:bCs/>
          <w:kern w:val="36"/>
          <w:sz w:val="48"/>
          <w:szCs w:val="48"/>
        </w:rPr>
      </w:pPr>
      <w:r w:rsidRPr="0078408A">
        <w:rPr>
          <w:rFonts w:ascii="Times New Roman" w:eastAsia="Times New Roman" w:hAnsi="Times New Roman" w:cs="Times New Roman"/>
          <w:b/>
          <w:bCs/>
          <w:kern w:val="36"/>
          <w:sz w:val="48"/>
          <w:szCs w:val="48"/>
        </w:rPr>
        <w:t xml:space="preserve">Communicate with a Rockwell </w:t>
      </w:r>
      <w:proofErr w:type="spellStart"/>
      <w:r w:rsidRPr="0078408A">
        <w:rPr>
          <w:rFonts w:ascii="Times New Roman" w:eastAsia="Times New Roman" w:hAnsi="Times New Roman" w:cs="Times New Roman"/>
          <w:b/>
          <w:bCs/>
          <w:kern w:val="36"/>
          <w:sz w:val="48"/>
          <w:szCs w:val="48"/>
        </w:rPr>
        <w:t>ControlLogix</w:t>
      </w:r>
      <w:proofErr w:type="spellEnd"/>
      <w:r w:rsidRPr="0078408A">
        <w:rPr>
          <w:rFonts w:ascii="Times New Roman" w:eastAsia="Times New Roman" w:hAnsi="Times New Roman" w:cs="Times New Roman"/>
          <w:b/>
          <w:bCs/>
          <w:kern w:val="36"/>
          <w:sz w:val="48"/>
          <w:szCs w:val="48"/>
        </w:rPr>
        <w:t xml:space="preserve"> PLC </w:t>
      </w:r>
    </w:p>
    <w:p w:rsidR="0078408A" w:rsidRPr="0078408A" w:rsidRDefault="0078408A" w:rsidP="0078408A">
      <w:p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sz w:val="24"/>
          <w:szCs w:val="24"/>
        </w:rPr>
        <w:t xml:space="preserve">This section describes how to transfer data between an In-Sight vision system and a </w:t>
      </w:r>
      <w:proofErr w:type="spellStart"/>
      <w:r w:rsidRPr="0078408A">
        <w:rPr>
          <w:rFonts w:ascii="Times New Roman" w:eastAsia="Times New Roman" w:hAnsi="Times New Roman" w:cs="Times New Roman"/>
          <w:sz w:val="24"/>
          <w:szCs w:val="24"/>
        </w:rPr>
        <w:t>ControlLogix</w:t>
      </w:r>
      <w:proofErr w:type="spellEnd"/>
      <w:r w:rsidRPr="0078408A">
        <w:rPr>
          <w:rFonts w:ascii="Times New Roman" w:eastAsia="Times New Roman" w:hAnsi="Times New Roman" w:cs="Times New Roman"/>
          <w:sz w:val="24"/>
          <w:szCs w:val="24"/>
        </w:rPr>
        <w:t xml:space="preserve"> or </w:t>
      </w:r>
      <w:proofErr w:type="spellStart"/>
      <w:r w:rsidRPr="0078408A">
        <w:rPr>
          <w:rFonts w:ascii="Times New Roman" w:eastAsia="Times New Roman" w:hAnsi="Times New Roman" w:cs="Times New Roman"/>
          <w:sz w:val="24"/>
          <w:szCs w:val="24"/>
        </w:rPr>
        <w:t>CompactLogix</w:t>
      </w:r>
      <w:proofErr w:type="spellEnd"/>
      <w:r w:rsidRPr="0078408A">
        <w:rPr>
          <w:rFonts w:ascii="Times New Roman" w:eastAsia="Times New Roman" w:hAnsi="Times New Roman" w:cs="Times New Roman"/>
          <w:sz w:val="24"/>
          <w:szCs w:val="24"/>
        </w:rPr>
        <w:t xml:space="preserve"> PLC on an </w:t>
      </w:r>
      <w:proofErr w:type="spellStart"/>
      <w:r w:rsidRPr="0078408A">
        <w:rPr>
          <w:rFonts w:ascii="Times New Roman" w:eastAsia="Times New Roman" w:hAnsi="Times New Roman" w:cs="Times New Roman"/>
          <w:sz w:val="24"/>
          <w:szCs w:val="24"/>
        </w:rPr>
        <w:t>EtherNet</w:t>
      </w:r>
      <w:proofErr w:type="spellEnd"/>
      <w:r w:rsidRPr="0078408A">
        <w:rPr>
          <w:rFonts w:ascii="Times New Roman" w:eastAsia="Times New Roman" w:hAnsi="Times New Roman" w:cs="Times New Roman"/>
          <w:sz w:val="24"/>
          <w:szCs w:val="24"/>
        </w:rPr>
        <w:t xml:space="preserve">/IP network, using Rockwell </w:t>
      </w:r>
      <w:proofErr w:type="spellStart"/>
      <w:r w:rsidRPr="0078408A">
        <w:rPr>
          <w:rFonts w:ascii="Times New Roman" w:eastAsia="Times New Roman" w:hAnsi="Times New Roman" w:cs="Times New Roman"/>
          <w:sz w:val="24"/>
          <w:szCs w:val="24"/>
        </w:rPr>
        <w:t>RSLogix</w:t>
      </w:r>
      <w:proofErr w:type="spellEnd"/>
      <w:r w:rsidRPr="0078408A">
        <w:rPr>
          <w:rFonts w:ascii="Times New Roman" w:eastAsia="Times New Roman" w:hAnsi="Times New Roman" w:cs="Times New Roman"/>
          <w:sz w:val="24"/>
          <w:szCs w:val="24"/>
        </w:rPr>
        <w:t xml:space="preserve"> 5000 software. For more information, see </w:t>
      </w:r>
      <w:hyperlink r:id="rId5" w:history="1">
        <w:proofErr w:type="spellStart"/>
        <w:r w:rsidRPr="0078408A">
          <w:rPr>
            <w:rFonts w:ascii="Times New Roman" w:eastAsia="Times New Roman" w:hAnsi="Times New Roman" w:cs="Times New Roman"/>
            <w:color w:val="0000FF"/>
            <w:sz w:val="24"/>
            <w:szCs w:val="24"/>
            <w:u w:val="single"/>
          </w:rPr>
          <w:t>EtherNet</w:t>
        </w:r>
        <w:proofErr w:type="spellEnd"/>
        <w:r w:rsidRPr="0078408A">
          <w:rPr>
            <w:rFonts w:ascii="Times New Roman" w:eastAsia="Times New Roman" w:hAnsi="Times New Roman" w:cs="Times New Roman"/>
            <w:color w:val="0000FF"/>
            <w:sz w:val="24"/>
            <w:szCs w:val="24"/>
            <w:u w:val="single"/>
          </w:rPr>
          <w:t>/IP Communications</w:t>
        </w:r>
      </w:hyperlink>
      <w:r w:rsidRPr="0078408A">
        <w:rPr>
          <w:rFonts w:ascii="Times New Roman" w:eastAsia="Times New Roman" w:hAnsi="Times New Roman" w:cs="Times New Roman"/>
          <w:sz w:val="24"/>
          <w:szCs w:val="24"/>
        </w:rPr>
        <w:t>.</w:t>
      </w:r>
    </w:p>
    <w:p w:rsidR="0078408A" w:rsidRPr="0078408A" w:rsidRDefault="0078408A" w:rsidP="0078408A">
      <w:pPr>
        <w:spacing w:before="100" w:beforeAutospacing="1" w:after="100" w:afterAutospacing="1" w:line="240" w:lineRule="auto"/>
        <w:outlineLvl w:val="1"/>
        <w:rPr>
          <w:rFonts w:ascii="Times New Roman" w:eastAsia="Times New Roman" w:hAnsi="Times New Roman" w:cs="Times New Roman"/>
          <w:b/>
          <w:bCs/>
          <w:sz w:val="36"/>
          <w:szCs w:val="36"/>
        </w:rPr>
      </w:pPr>
      <w:bookmarkStart w:id="0" w:name="Integration"/>
      <w:bookmarkEnd w:id="0"/>
      <w:r w:rsidRPr="0078408A">
        <w:rPr>
          <w:rFonts w:ascii="Times New Roman" w:eastAsia="Times New Roman" w:hAnsi="Times New Roman" w:cs="Times New Roman"/>
          <w:b/>
          <w:bCs/>
          <w:sz w:val="36"/>
          <w:szCs w:val="36"/>
        </w:rPr>
        <w:t xml:space="preserve">Integration with </w:t>
      </w:r>
      <w:proofErr w:type="spellStart"/>
      <w:r w:rsidRPr="0078408A">
        <w:rPr>
          <w:rFonts w:ascii="Times New Roman" w:eastAsia="Times New Roman" w:hAnsi="Times New Roman" w:cs="Times New Roman"/>
          <w:b/>
          <w:bCs/>
          <w:sz w:val="36"/>
          <w:szCs w:val="36"/>
        </w:rPr>
        <w:t>RSLogix</w:t>
      </w:r>
      <w:proofErr w:type="spellEnd"/>
      <w:r w:rsidRPr="0078408A">
        <w:rPr>
          <w:rFonts w:ascii="Times New Roman" w:eastAsia="Times New Roman" w:hAnsi="Times New Roman" w:cs="Times New Roman"/>
          <w:b/>
          <w:bCs/>
          <w:sz w:val="36"/>
          <w:szCs w:val="36"/>
        </w:rPr>
        <w:t xml:space="preserve"> 5000</w:t>
      </w:r>
    </w:p>
    <w:p w:rsidR="0078408A" w:rsidRPr="0078408A" w:rsidRDefault="0078408A" w:rsidP="0078408A">
      <w:p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sz w:val="24"/>
          <w:szCs w:val="24"/>
        </w:rPr>
        <w:t xml:space="preserve">The steps to configure an implicit connection and transfer of data depend on the In-Sight firmware version installed to the vision system, and the version of </w:t>
      </w:r>
      <w:proofErr w:type="spellStart"/>
      <w:r w:rsidRPr="0078408A">
        <w:rPr>
          <w:rFonts w:ascii="Times New Roman" w:eastAsia="Times New Roman" w:hAnsi="Times New Roman" w:cs="Times New Roman"/>
          <w:sz w:val="24"/>
          <w:szCs w:val="24"/>
        </w:rPr>
        <w:t>RSLogix</w:t>
      </w:r>
      <w:proofErr w:type="spellEnd"/>
      <w:r w:rsidRPr="0078408A">
        <w:rPr>
          <w:rFonts w:ascii="Times New Roman" w:eastAsia="Times New Roman" w:hAnsi="Times New Roman" w:cs="Times New Roman"/>
          <w:sz w:val="24"/>
          <w:szCs w:val="24"/>
        </w:rPr>
        <w:t xml:space="preserve"> 5000 software.</w:t>
      </w:r>
    </w:p>
    <w:p w:rsidR="0078408A" w:rsidRPr="0078408A" w:rsidRDefault="0078408A" w:rsidP="0078408A">
      <w:pPr>
        <w:spacing w:before="100" w:beforeAutospacing="1" w:after="100" w:afterAutospacing="1" w:line="240" w:lineRule="auto"/>
        <w:outlineLvl w:val="2"/>
        <w:rPr>
          <w:rFonts w:ascii="Times New Roman" w:eastAsia="Times New Roman" w:hAnsi="Times New Roman" w:cs="Times New Roman"/>
          <w:b/>
          <w:bCs/>
          <w:sz w:val="27"/>
          <w:szCs w:val="27"/>
        </w:rPr>
      </w:pPr>
      <w:proofErr w:type="spellStart"/>
      <w:r w:rsidRPr="0078408A">
        <w:rPr>
          <w:rFonts w:ascii="Times New Roman" w:eastAsia="Times New Roman" w:hAnsi="Times New Roman" w:cs="Times New Roman"/>
          <w:b/>
          <w:bCs/>
          <w:sz w:val="27"/>
          <w:szCs w:val="27"/>
        </w:rPr>
        <w:t>RSLogix</w:t>
      </w:r>
      <w:proofErr w:type="spellEnd"/>
      <w:r w:rsidRPr="0078408A">
        <w:rPr>
          <w:rFonts w:ascii="Times New Roman" w:eastAsia="Times New Roman" w:hAnsi="Times New Roman" w:cs="Times New Roman"/>
          <w:b/>
          <w:bCs/>
          <w:sz w:val="27"/>
          <w:szCs w:val="27"/>
        </w:rPr>
        <w:t xml:space="preserve"> 5000, Version 15+, Using Add-On Profile (AOP) Version 1.28</w:t>
      </w:r>
    </w:p>
    <w:p w:rsidR="0078408A" w:rsidRPr="0078408A" w:rsidRDefault="0078408A" w:rsidP="0078408A">
      <w:pPr>
        <w:spacing w:after="0"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b/>
          <w:bCs/>
          <w:sz w:val="24"/>
          <w:szCs w:val="24"/>
        </w:rPr>
        <w:t>Note</w:t>
      </w:r>
      <w:r w:rsidRPr="0078408A">
        <w:rPr>
          <w:rFonts w:ascii="Times New Roman" w:eastAsia="Times New Roman" w:hAnsi="Times New Roman" w:cs="Times New Roman"/>
          <w:sz w:val="24"/>
          <w:szCs w:val="24"/>
        </w:rPr>
        <w:t xml:space="preserve">: To use Add-On Profile (AOP) version 1.28 of the profile, you must first install the </w:t>
      </w:r>
      <w:proofErr w:type="spellStart"/>
      <w:r w:rsidRPr="0078408A">
        <w:rPr>
          <w:rFonts w:ascii="Times New Roman" w:eastAsia="Times New Roman" w:hAnsi="Times New Roman" w:cs="Times New Roman"/>
          <w:sz w:val="24"/>
          <w:szCs w:val="24"/>
        </w:rPr>
        <w:t>RSLogix</w:t>
      </w:r>
      <w:proofErr w:type="spellEnd"/>
      <w:r w:rsidRPr="0078408A">
        <w:rPr>
          <w:rFonts w:ascii="Times New Roman" w:eastAsia="Times New Roman" w:hAnsi="Times New Roman" w:cs="Times New Roman"/>
          <w:sz w:val="24"/>
          <w:szCs w:val="24"/>
        </w:rPr>
        <w:t xml:space="preserve"> 5000 version 15 or later. This version provides AOP support to the next generation models: In-Sight 2000 series vision sensors, In-Sight 57xx, In-Sight 8000 and In-Sight 7000 Gen2 series vision systems, as well as the legacy In-Sight models.</w:t>
      </w:r>
    </w:p>
    <w:p w:rsidR="0078408A" w:rsidRPr="0078408A" w:rsidRDefault="0078408A" w:rsidP="0078408A">
      <w:p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noProof/>
          <w:sz w:val="24"/>
          <w:szCs w:val="24"/>
        </w:rPr>
        <mc:AlternateContent>
          <mc:Choice Requires="wps">
            <w:drawing>
              <wp:inline distT="0" distB="0" distL="0" distR="0">
                <wp:extent cx="304800" cy="304800"/>
                <wp:effectExtent l="0" t="0" r="0" b="0"/>
                <wp:docPr id="4" name="Rectangle 4" descr="https://support.cognex.com/docs/is_574/web/EN/ise/Content/Images/ISFW_RSLogix_Matrix_v15+_282x455.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A4F4256" id="Rectangle 4" o:spid="_x0000_s1026" alt="https://support.cognex.com/docs/is_574/web/EN/ise/Content/Images/ISFW_RSLogix_Matrix_v15+_282x455.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" filled="f" stroked="f">
                <o:lock v:ext="edit" aspectratio="t"/>
                <w10:anchorlock/>
              </v:rect>
            </w:pict>
          </mc:Fallback>
        </mc:AlternateContent>
      </w:r>
    </w:p>
    <w:p w:rsidR="0078408A" w:rsidRPr="0078408A" w:rsidRDefault="0078408A" w:rsidP="0078408A">
      <w:pPr>
        <w:spacing w:before="100" w:beforeAutospacing="1" w:after="100" w:afterAutospacing="1" w:line="240" w:lineRule="auto"/>
        <w:outlineLvl w:val="2"/>
        <w:rPr>
          <w:rFonts w:ascii="Times New Roman" w:eastAsia="Times New Roman" w:hAnsi="Times New Roman" w:cs="Times New Roman"/>
          <w:b/>
          <w:bCs/>
          <w:sz w:val="27"/>
          <w:szCs w:val="27"/>
        </w:rPr>
      </w:pPr>
      <w:proofErr w:type="spellStart"/>
      <w:r w:rsidRPr="0078408A">
        <w:rPr>
          <w:rFonts w:ascii="Times New Roman" w:eastAsia="Times New Roman" w:hAnsi="Times New Roman" w:cs="Times New Roman"/>
          <w:b/>
          <w:bCs/>
          <w:sz w:val="27"/>
          <w:szCs w:val="27"/>
        </w:rPr>
        <w:t>RSLogix</w:t>
      </w:r>
      <w:proofErr w:type="spellEnd"/>
      <w:r w:rsidRPr="0078408A">
        <w:rPr>
          <w:rFonts w:ascii="Times New Roman" w:eastAsia="Times New Roman" w:hAnsi="Times New Roman" w:cs="Times New Roman"/>
          <w:b/>
          <w:bCs/>
          <w:sz w:val="27"/>
          <w:szCs w:val="27"/>
        </w:rPr>
        <w:t xml:space="preserve"> 5000, Version 15-19</w:t>
      </w:r>
    </w:p>
    <w:p w:rsidR="0078408A" w:rsidRPr="0078408A" w:rsidRDefault="0078408A" w:rsidP="0078408A">
      <w:p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noProof/>
          <w:sz w:val="24"/>
          <w:szCs w:val="24"/>
        </w:rPr>
        <w:lastRenderedPageBreak/>
        <w:drawing>
          <wp:inline distT="0" distB="0" distL="0" distR="0">
            <wp:extent cx="8229600" cy="4521200"/>
            <wp:effectExtent l="0" t="0" r="0" b="0"/>
            <wp:docPr id="3" name="Picture 3" descr="https://support.cognex.com/docs/is_574/web/EN/ise/Content/Images/ISFW_RSLogix_Matrix_v15_19_864x4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upport.cognex.com/docs/is_574/web/EN/ise/Content/Images/ISFW_RSLogix_Matrix_v15_19_864x475.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229600" cy="4521200"/>
                    </a:xfrm>
                    <a:prstGeom prst="rect">
                      <a:avLst/>
                    </a:prstGeom>
                    <a:noFill/>
                    <a:ln>
                      <a:noFill/>
                    </a:ln>
                  </pic:spPr>
                </pic:pic>
              </a:graphicData>
            </a:graphic>
          </wp:inline>
        </w:drawing>
      </w:r>
    </w:p>
    <w:p w:rsidR="0078408A" w:rsidRPr="0078408A" w:rsidRDefault="0078408A" w:rsidP="0078408A">
      <w:pPr>
        <w:spacing w:before="100" w:beforeAutospacing="1" w:after="100" w:afterAutospacing="1" w:line="240" w:lineRule="auto"/>
        <w:outlineLvl w:val="2"/>
        <w:rPr>
          <w:rFonts w:ascii="Times New Roman" w:eastAsia="Times New Roman" w:hAnsi="Times New Roman" w:cs="Times New Roman"/>
          <w:b/>
          <w:bCs/>
          <w:sz w:val="27"/>
          <w:szCs w:val="27"/>
        </w:rPr>
      </w:pPr>
      <w:proofErr w:type="spellStart"/>
      <w:r w:rsidRPr="0078408A">
        <w:rPr>
          <w:rFonts w:ascii="Times New Roman" w:eastAsia="Times New Roman" w:hAnsi="Times New Roman" w:cs="Times New Roman"/>
          <w:b/>
          <w:bCs/>
          <w:sz w:val="27"/>
          <w:szCs w:val="27"/>
        </w:rPr>
        <w:t>RSLogix</w:t>
      </w:r>
      <w:proofErr w:type="spellEnd"/>
      <w:r w:rsidRPr="0078408A">
        <w:rPr>
          <w:rFonts w:ascii="Times New Roman" w:eastAsia="Times New Roman" w:hAnsi="Times New Roman" w:cs="Times New Roman"/>
          <w:b/>
          <w:bCs/>
          <w:sz w:val="27"/>
          <w:szCs w:val="27"/>
        </w:rPr>
        <w:t xml:space="preserve"> 5000, Version 20+, Using Generic or EDS Generated Profile:</w:t>
      </w:r>
    </w:p>
    <w:p w:rsidR="0078408A" w:rsidRPr="0078408A" w:rsidRDefault="0078408A" w:rsidP="0078408A">
      <w:p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noProof/>
          <w:sz w:val="24"/>
          <w:szCs w:val="24"/>
        </w:rPr>
        <w:lastRenderedPageBreak/>
        <w:drawing>
          <wp:inline distT="0" distB="0" distL="0" distR="0">
            <wp:extent cx="8229600" cy="4521200"/>
            <wp:effectExtent l="0" t="0" r="0" b="0"/>
            <wp:docPr id="2" name="Picture 2" descr="https://support.cognex.com/docs/is_574/web/EN/ise/Content/Images/ISFW_RSLogix_Matrix_v20_864x4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upport.cognex.com/docs/is_574/web/EN/ise/Content/Images/ISFW_RSLogix_Matrix_v20_864x475.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229600" cy="4521200"/>
                    </a:xfrm>
                    <a:prstGeom prst="rect">
                      <a:avLst/>
                    </a:prstGeom>
                    <a:noFill/>
                    <a:ln>
                      <a:noFill/>
                    </a:ln>
                  </pic:spPr>
                </pic:pic>
              </a:graphicData>
            </a:graphic>
          </wp:inline>
        </w:drawing>
      </w:r>
    </w:p>
    <w:p w:rsidR="0078408A" w:rsidRPr="0078408A" w:rsidRDefault="0078408A" w:rsidP="0078408A">
      <w:p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sz w:val="24"/>
          <w:szCs w:val="24"/>
        </w:rPr>
        <w:t> </w:t>
      </w:r>
    </w:p>
    <w:p w:rsidR="0078408A" w:rsidRPr="0078408A" w:rsidRDefault="0078408A" w:rsidP="0078408A">
      <w:pPr>
        <w:spacing w:before="100" w:beforeAutospacing="1" w:after="100" w:afterAutospacing="1" w:line="240" w:lineRule="auto"/>
        <w:outlineLvl w:val="1"/>
        <w:rPr>
          <w:rFonts w:ascii="Times New Roman" w:eastAsia="Times New Roman" w:hAnsi="Times New Roman" w:cs="Times New Roman"/>
          <w:b/>
          <w:bCs/>
          <w:sz w:val="36"/>
          <w:szCs w:val="36"/>
        </w:rPr>
      </w:pPr>
      <w:bookmarkStart w:id="1" w:name="EDS_AOP"/>
      <w:bookmarkEnd w:id="1"/>
      <w:r w:rsidRPr="0078408A">
        <w:rPr>
          <w:rFonts w:ascii="Times New Roman" w:eastAsia="Times New Roman" w:hAnsi="Times New Roman" w:cs="Times New Roman"/>
          <w:b/>
          <w:bCs/>
          <w:sz w:val="36"/>
          <w:szCs w:val="36"/>
        </w:rPr>
        <w:t>EDS Generated Profile or Add-On Profile (AOP)</w:t>
      </w:r>
    </w:p>
    <w:p w:rsidR="0078408A" w:rsidRPr="0078408A" w:rsidRDefault="0078408A" w:rsidP="0078408A">
      <w:pPr>
        <w:spacing w:before="100" w:beforeAutospacing="1" w:after="100" w:afterAutospacing="1" w:line="240" w:lineRule="auto"/>
        <w:outlineLvl w:val="2"/>
        <w:rPr>
          <w:rFonts w:ascii="Times New Roman" w:eastAsia="Times New Roman" w:hAnsi="Times New Roman" w:cs="Times New Roman"/>
          <w:b/>
          <w:bCs/>
          <w:sz w:val="27"/>
          <w:szCs w:val="27"/>
        </w:rPr>
      </w:pPr>
      <w:bookmarkStart w:id="2" w:name="EDS"/>
      <w:bookmarkEnd w:id="2"/>
      <w:r w:rsidRPr="0078408A">
        <w:rPr>
          <w:rFonts w:ascii="Times New Roman" w:eastAsia="Times New Roman" w:hAnsi="Times New Roman" w:cs="Times New Roman"/>
          <w:b/>
          <w:bCs/>
          <w:sz w:val="27"/>
          <w:szCs w:val="27"/>
        </w:rPr>
        <w:t>EDS Generated Profile</w:t>
      </w:r>
    </w:p>
    <w:p w:rsidR="0078408A" w:rsidRPr="0078408A" w:rsidRDefault="0078408A" w:rsidP="0078408A">
      <w:p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sz w:val="24"/>
          <w:szCs w:val="24"/>
        </w:rPr>
        <w:t xml:space="preserve">Electronic Data Sheets (EDS) are text files used by various network configuration tools to identify In-Sight vision systems on a network. You can use </w:t>
      </w:r>
      <w:proofErr w:type="gramStart"/>
      <w:r w:rsidRPr="0078408A">
        <w:rPr>
          <w:rFonts w:ascii="Times New Roman" w:eastAsia="Times New Roman" w:hAnsi="Times New Roman" w:cs="Times New Roman"/>
          <w:sz w:val="24"/>
          <w:szCs w:val="24"/>
        </w:rPr>
        <w:t>EDS</w:t>
      </w:r>
      <w:proofErr w:type="gramEnd"/>
      <w:r w:rsidRPr="0078408A">
        <w:rPr>
          <w:rFonts w:ascii="Times New Roman" w:eastAsia="Times New Roman" w:hAnsi="Times New Roman" w:cs="Times New Roman"/>
          <w:sz w:val="24"/>
          <w:szCs w:val="24"/>
        </w:rPr>
        <w:t xml:space="preserve"> files with any </w:t>
      </w:r>
      <w:proofErr w:type="spellStart"/>
      <w:r w:rsidRPr="0078408A">
        <w:rPr>
          <w:rFonts w:ascii="Times New Roman" w:eastAsia="Times New Roman" w:hAnsi="Times New Roman" w:cs="Times New Roman"/>
          <w:sz w:val="24"/>
          <w:szCs w:val="24"/>
        </w:rPr>
        <w:t>EtherNet</w:t>
      </w:r>
      <w:proofErr w:type="spellEnd"/>
      <w:r w:rsidRPr="0078408A">
        <w:rPr>
          <w:rFonts w:ascii="Times New Roman" w:eastAsia="Times New Roman" w:hAnsi="Times New Roman" w:cs="Times New Roman"/>
          <w:sz w:val="24"/>
          <w:szCs w:val="24"/>
        </w:rPr>
        <w:t>/IP device. In-Sight EDS files are installed with In-Sight Explorer software in the Factory Protocol Files folder:</w:t>
      </w:r>
    </w:p>
    <w:p w:rsidR="0078408A" w:rsidRPr="0078408A" w:rsidRDefault="0078408A" w:rsidP="0078408A">
      <w:p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noProof/>
          <w:sz w:val="24"/>
          <w:szCs w:val="24"/>
        </w:rPr>
        <w:lastRenderedPageBreak/>
        <w:drawing>
          <wp:inline distT="0" distB="0" distL="0" distR="0">
            <wp:extent cx="2063750" cy="2647950"/>
            <wp:effectExtent l="0" t="0" r="0" b="0"/>
            <wp:docPr id="1" name="Picture 1" descr="https://support.cognex.com/docs/is_574/web/EN/ise/Content/Images/EDS_FileLo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upport.cognex.com/docs/is_574/web/EN/ise/Content/Images/EDS_FileLocation.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63750" cy="2647950"/>
                    </a:xfrm>
                    <a:prstGeom prst="rect">
                      <a:avLst/>
                    </a:prstGeom>
                    <a:noFill/>
                    <a:ln>
                      <a:noFill/>
                    </a:ln>
                  </pic:spPr>
                </pic:pic>
              </a:graphicData>
            </a:graphic>
          </wp:inline>
        </w:drawing>
      </w:r>
    </w:p>
    <w:p w:rsidR="0078408A" w:rsidRPr="0078408A" w:rsidRDefault="0078408A" w:rsidP="0078408A">
      <w:p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sz w:val="24"/>
          <w:szCs w:val="24"/>
        </w:rPr>
        <w:t xml:space="preserve">These EDS files are then imported into the appropriate software. For more information using the EDS or Generic Module, refer to </w:t>
      </w:r>
      <w:hyperlink r:id="rId9" w:history="1">
        <w:proofErr w:type="gramStart"/>
        <w:r w:rsidRPr="0078408A">
          <w:rPr>
            <w:rFonts w:ascii="Times New Roman" w:eastAsia="Times New Roman" w:hAnsi="Times New Roman" w:cs="Times New Roman"/>
            <w:color w:val="0000FF"/>
            <w:sz w:val="24"/>
            <w:szCs w:val="24"/>
            <w:u w:val="single"/>
          </w:rPr>
          <w:t>Establish</w:t>
        </w:r>
        <w:proofErr w:type="gramEnd"/>
        <w:r w:rsidRPr="0078408A">
          <w:rPr>
            <w:rFonts w:ascii="Times New Roman" w:eastAsia="Times New Roman" w:hAnsi="Times New Roman" w:cs="Times New Roman"/>
            <w:color w:val="0000FF"/>
            <w:sz w:val="24"/>
            <w:szCs w:val="24"/>
            <w:u w:val="single"/>
          </w:rPr>
          <w:t xml:space="preserve"> the Connection Using the EDS Generated Profile</w:t>
        </w:r>
      </w:hyperlink>
      <w:r w:rsidRPr="0078408A">
        <w:rPr>
          <w:rFonts w:ascii="Times New Roman" w:eastAsia="Times New Roman" w:hAnsi="Times New Roman" w:cs="Times New Roman"/>
          <w:sz w:val="24"/>
          <w:szCs w:val="24"/>
        </w:rPr>
        <w:t xml:space="preserve"> or </w:t>
      </w:r>
      <w:hyperlink r:id="rId10" w:history="1">
        <w:r w:rsidRPr="0078408A">
          <w:rPr>
            <w:rFonts w:ascii="Times New Roman" w:eastAsia="Times New Roman" w:hAnsi="Times New Roman" w:cs="Times New Roman"/>
            <w:color w:val="0000FF"/>
            <w:sz w:val="24"/>
            <w:szCs w:val="24"/>
            <w:u w:val="single"/>
          </w:rPr>
          <w:t>Establish the Connection Using a Generic ETHERNET-MODULE</w:t>
        </w:r>
      </w:hyperlink>
      <w:r w:rsidRPr="0078408A">
        <w:rPr>
          <w:rFonts w:ascii="Times New Roman" w:eastAsia="Times New Roman" w:hAnsi="Times New Roman" w:cs="Times New Roman"/>
          <w:sz w:val="24"/>
          <w:szCs w:val="24"/>
        </w:rPr>
        <w:t>.</w:t>
      </w:r>
    </w:p>
    <w:p w:rsidR="0078408A" w:rsidRPr="0078408A" w:rsidRDefault="0078408A" w:rsidP="0078408A">
      <w:p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sz w:val="24"/>
          <w:szCs w:val="24"/>
        </w:rPr>
        <w:t xml:space="preserve">For EDS installation information, see </w:t>
      </w:r>
      <w:hyperlink r:id="rId11" w:history="1">
        <w:r w:rsidRPr="0078408A">
          <w:rPr>
            <w:rFonts w:ascii="Times New Roman" w:eastAsia="Times New Roman" w:hAnsi="Times New Roman" w:cs="Times New Roman"/>
            <w:color w:val="0000FF"/>
            <w:sz w:val="24"/>
            <w:szCs w:val="24"/>
            <w:u w:val="single"/>
          </w:rPr>
          <w:t>Install the EDS Files</w:t>
        </w:r>
      </w:hyperlink>
      <w:r w:rsidRPr="0078408A">
        <w:rPr>
          <w:rFonts w:ascii="Times New Roman" w:eastAsia="Times New Roman" w:hAnsi="Times New Roman" w:cs="Times New Roman"/>
          <w:sz w:val="24"/>
          <w:szCs w:val="24"/>
        </w:rPr>
        <w:t>.</w:t>
      </w:r>
    </w:p>
    <w:p w:rsidR="0078408A" w:rsidRPr="0078408A" w:rsidRDefault="0078408A" w:rsidP="0078408A">
      <w:pPr>
        <w:spacing w:before="100" w:beforeAutospacing="1" w:after="100" w:afterAutospacing="1" w:line="240" w:lineRule="auto"/>
        <w:outlineLvl w:val="2"/>
        <w:rPr>
          <w:rFonts w:ascii="Times New Roman" w:eastAsia="Times New Roman" w:hAnsi="Times New Roman" w:cs="Times New Roman"/>
          <w:b/>
          <w:bCs/>
          <w:sz w:val="27"/>
          <w:szCs w:val="27"/>
        </w:rPr>
      </w:pPr>
      <w:bookmarkStart w:id="3" w:name="AOP"/>
      <w:bookmarkEnd w:id="3"/>
      <w:r w:rsidRPr="0078408A">
        <w:rPr>
          <w:rFonts w:ascii="Times New Roman" w:eastAsia="Times New Roman" w:hAnsi="Times New Roman" w:cs="Times New Roman"/>
          <w:b/>
          <w:bCs/>
          <w:sz w:val="27"/>
          <w:szCs w:val="27"/>
        </w:rPr>
        <w:t>Add-On Profile (AOP)</w:t>
      </w:r>
    </w:p>
    <w:p w:rsidR="0078408A" w:rsidRPr="0078408A" w:rsidRDefault="0078408A" w:rsidP="0078408A">
      <w:pPr>
        <w:spacing w:before="100" w:beforeAutospacing="1" w:after="100" w:afterAutospacing="1" w:line="240" w:lineRule="auto"/>
        <w:rPr>
          <w:rFonts w:ascii="Times New Roman" w:eastAsia="Times New Roman" w:hAnsi="Times New Roman" w:cs="Times New Roman"/>
          <w:sz w:val="24"/>
          <w:szCs w:val="24"/>
        </w:rPr>
      </w:pPr>
      <w:proofErr w:type="spellStart"/>
      <w:r w:rsidRPr="0078408A">
        <w:rPr>
          <w:rFonts w:ascii="Times New Roman" w:eastAsia="Times New Roman" w:hAnsi="Times New Roman" w:cs="Times New Roman"/>
          <w:sz w:val="24"/>
          <w:szCs w:val="24"/>
        </w:rPr>
        <w:t>RSLogix</w:t>
      </w:r>
      <w:proofErr w:type="spellEnd"/>
      <w:r w:rsidRPr="0078408A">
        <w:rPr>
          <w:rFonts w:ascii="Times New Roman" w:eastAsia="Times New Roman" w:hAnsi="Times New Roman" w:cs="Times New Roman"/>
          <w:sz w:val="24"/>
          <w:szCs w:val="24"/>
        </w:rPr>
        <w:t xml:space="preserve"> 5000 software supports using Add-On Profile (AOP) which allows configuration of </w:t>
      </w:r>
      <w:proofErr w:type="spellStart"/>
      <w:r w:rsidRPr="0078408A">
        <w:rPr>
          <w:rFonts w:ascii="Times New Roman" w:eastAsia="Times New Roman" w:hAnsi="Times New Roman" w:cs="Times New Roman"/>
          <w:sz w:val="24"/>
          <w:szCs w:val="24"/>
        </w:rPr>
        <w:t>EtherNet</w:t>
      </w:r>
      <w:proofErr w:type="spellEnd"/>
      <w:r w:rsidRPr="0078408A">
        <w:rPr>
          <w:rFonts w:ascii="Times New Roman" w:eastAsia="Times New Roman" w:hAnsi="Times New Roman" w:cs="Times New Roman"/>
          <w:sz w:val="24"/>
          <w:szCs w:val="24"/>
        </w:rPr>
        <w:t xml:space="preserve">/IP enabled devices to communicate with Rockwell </w:t>
      </w:r>
      <w:proofErr w:type="spellStart"/>
      <w:r w:rsidRPr="0078408A">
        <w:rPr>
          <w:rFonts w:ascii="Times New Roman" w:eastAsia="Times New Roman" w:hAnsi="Times New Roman" w:cs="Times New Roman"/>
          <w:sz w:val="24"/>
          <w:szCs w:val="24"/>
        </w:rPr>
        <w:t>ControlLogix</w:t>
      </w:r>
      <w:proofErr w:type="spellEnd"/>
      <w:r w:rsidRPr="0078408A">
        <w:rPr>
          <w:rFonts w:ascii="Times New Roman" w:eastAsia="Times New Roman" w:hAnsi="Times New Roman" w:cs="Times New Roman"/>
          <w:sz w:val="24"/>
          <w:szCs w:val="24"/>
        </w:rPr>
        <w:t xml:space="preserve"> and </w:t>
      </w:r>
      <w:proofErr w:type="spellStart"/>
      <w:r w:rsidRPr="0078408A">
        <w:rPr>
          <w:rFonts w:ascii="Times New Roman" w:eastAsia="Times New Roman" w:hAnsi="Times New Roman" w:cs="Times New Roman"/>
          <w:sz w:val="24"/>
          <w:szCs w:val="24"/>
        </w:rPr>
        <w:t>CompactLogix</w:t>
      </w:r>
      <w:proofErr w:type="spellEnd"/>
      <w:r w:rsidRPr="0078408A">
        <w:rPr>
          <w:rFonts w:ascii="Times New Roman" w:eastAsia="Times New Roman" w:hAnsi="Times New Roman" w:cs="Times New Roman"/>
          <w:sz w:val="24"/>
          <w:szCs w:val="24"/>
        </w:rPr>
        <w:t xml:space="preserve"> PLCs. The user interface for Add-On Profile (AOP) provides enumerated access to the configuration and status data with full range checking. Data entered is validated to ensure that selections made are correct and consistent with the desired setup. The Add-On Profile (AOP) understands the structure of I/O and configuration data and creates tags using names assigned to the device in </w:t>
      </w:r>
      <w:proofErr w:type="spellStart"/>
      <w:r w:rsidRPr="0078408A">
        <w:rPr>
          <w:rFonts w:ascii="Times New Roman" w:eastAsia="Times New Roman" w:hAnsi="Times New Roman" w:cs="Times New Roman"/>
          <w:sz w:val="24"/>
          <w:szCs w:val="24"/>
        </w:rPr>
        <w:t>RSLogix</w:t>
      </w:r>
      <w:proofErr w:type="spellEnd"/>
      <w:r w:rsidRPr="0078408A">
        <w:rPr>
          <w:rFonts w:ascii="Times New Roman" w:eastAsia="Times New Roman" w:hAnsi="Times New Roman" w:cs="Times New Roman"/>
          <w:sz w:val="24"/>
          <w:szCs w:val="24"/>
        </w:rPr>
        <w:t xml:space="preserve"> 5000. There is a complete enumeration of the tag to differentiate the data visibly, and all data is available using the tag name.</w:t>
      </w:r>
    </w:p>
    <w:p w:rsidR="0078408A" w:rsidRPr="0078408A" w:rsidRDefault="0078408A" w:rsidP="0078408A">
      <w:p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sz w:val="24"/>
          <w:szCs w:val="24"/>
        </w:rPr>
        <w:t xml:space="preserve">The In-Sight Add-On Profile (AOP) installer is available from the In-Sight support site. The current version 1.28 supports all In-Sight vision systems including the new next-generation models (In-Sight 2000 series vision sensors, In-Sight 8000 and In-Sight 7000 Gen2 series vision systems). For more information, see </w:t>
      </w:r>
      <w:hyperlink r:id="rId12" w:history="1">
        <w:r w:rsidRPr="0078408A">
          <w:rPr>
            <w:rFonts w:ascii="Times New Roman" w:eastAsia="Times New Roman" w:hAnsi="Times New Roman" w:cs="Times New Roman"/>
            <w:color w:val="0000FF"/>
            <w:sz w:val="24"/>
            <w:szCs w:val="24"/>
            <w:u w:val="single"/>
          </w:rPr>
          <w:t>Install the Add-On Profile</w:t>
        </w:r>
      </w:hyperlink>
      <w:r w:rsidRPr="0078408A">
        <w:rPr>
          <w:rFonts w:ascii="Times New Roman" w:eastAsia="Times New Roman" w:hAnsi="Times New Roman" w:cs="Times New Roman"/>
          <w:sz w:val="24"/>
          <w:szCs w:val="24"/>
        </w:rPr>
        <w:t>.</w:t>
      </w:r>
    </w:p>
    <w:p w:rsidR="0078408A" w:rsidRPr="0078408A" w:rsidRDefault="0078408A" w:rsidP="0078408A">
      <w:pPr>
        <w:spacing w:after="0"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b/>
          <w:bCs/>
          <w:sz w:val="24"/>
          <w:szCs w:val="24"/>
        </w:rPr>
        <w:t>Note</w:t>
      </w:r>
      <w:r w:rsidRPr="0078408A">
        <w:rPr>
          <w:rFonts w:ascii="Times New Roman" w:eastAsia="Times New Roman" w:hAnsi="Times New Roman" w:cs="Times New Roman"/>
          <w:sz w:val="24"/>
          <w:szCs w:val="24"/>
        </w:rPr>
        <w:t xml:space="preserve">: </w:t>
      </w:r>
    </w:p>
    <w:p w:rsidR="0078408A" w:rsidRPr="0078408A" w:rsidRDefault="0078408A" w:rsidP="0078408A">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sz w:val="24"/>
          <w:szCs w:val="24"/>
        </w:rPr>
        <w:t>The Add-On Profile (AOP) installs Major Revision 11 for In-Sight 2000 series vision sensors, In-Sight 57xx, In-Sight 7000 Gen2 series, and In-Sight 8000 series vision systems, and Major Revision 12 for all legacy models (In-Sight 1000, In-Sight 5000 and In-Sight 70xx-74xx series vision systems).</w:t>
      </w:r>
    </w:p>
    <w:p w:rsidR="0078408A" w:rsidRPr="0078408A" w:rsidRDefault="0078408A" w:rsidP="0078408A">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sz w:val="24"/>
          <w:szCs w:val="24"/>
        </w:rPr>
        <w:lastRenderedPageBreak/>
        <w:t xml:space="preserve">The Add-On Profile (AOP) version 1.28 with Major Revision 12 supports </w:t>
      </w:r>
      <w:proofErr w:type="spellStart"/>
      <w:r w:rsidRPr="0078408A">
        <w:rPr>
          <w:rFonts w:ascii="Times New Roman" w:eastAsia="Times New Roman" w:hAnsi="Times New Roman" w:cs="Times New Roman"/>
          <w:sz w:val="24"/>
          <w:szCs w:val="24"/>
        </w:rPr>
        <w:t>TestRun</w:t>
      </w:r>
      <w:proofErr w:type="spellEnd"/>
      <w:r w:rsidRPr="0078408A">
        <w:rPr>
          <w:rFonts w:ascii="Times New Roman" w:eastAsia="Times New Roman" w:hAnsi="Times New Roman" w:cs="Times New Roman"/>
          <w:sz w:val="24"/>
          <w:szCs w:val="24"/>
        </w:rPr>
        <w:t xml:space="preserve"> bits on the legacy models.</w:t>
      </w:r>
    </w:p>
    <w:p w:rsidR="0078408A" w:rsidRPr="0078408A" w:rsidRDefault="0078408A" w:rsidP="0078408A">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sz w:val="24"/>
          <w:szCs w:val="24"/>
        </w:rPr>
        <w:t>If the Add-On Profile (AOP) is installed, the In-Sight vision systems will hide the EDS generated profile.</w:t>
      </w:r>
    </w:p>
    <w:p w:rsidR="0078408A" w:rsidRPr="0078408A" w:rsidRDefault="0078408A" w:rsidP="0078408A">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sz w:val="24"/>
          <w:szCs w:val="24"/>
        </w:rPr>
        <w:t>While the latest In-Sight Add-On Profile (AOP) contains all the contents from previous revisions and does not break compatibility with existing applications, whether or not the connection will be established is tied to the Major Revision field in the Add-On Profile (AOP).</w:t>
      </w:r>
    </w:p>
    <w:p w:rsidR="0078408A" w:rsidRDefault="0078408A">
      <w:r>
        <w:br w:type="page"/>
      </w:r>
    </w:p>
    <w:p w:rsidR="0078408A" w:rsidRPr="0078408A" w:rsidRDefault="0078408A" w:rsidP="0078408A">
      <w:pPr>
        <w:spacing w:before="100" w:beforeAutospacing="1" w:after="100" w:afterAutospacing="1" w:line="240" w:lineRule="auto"/>
        <w:outlineLvl w:val="0"/>
        <w:rPr>
          <w:rFonts w:ascii="Times New Roman" w:eastAsia="Times New Roman" w:hAnsi="Times New Roman" w:cs="Times New Roman"/>
          <w:b/>
          <w:bCs/>
          <w:kern w:val="36"/>
          <w:sz w:val="48"/>
          <w:szCs w:val="48"/>
        </w:rPr>
      </w:pPr>
      <w:r w:rsidRPr="0078408A">
        <w:rPr>
          <w:rFonts w:ascii="Times New Roman" w:eastAsia="Times New Roman" w:hAnsi="Times New Roman" w:cs="Times New Roman"/>
          <w:b/>
          <w:bCs/>
          <w:kern w:val="36"/>
          <w:sz w:val="48"/>
          <w:szCs w:val="48"/>
        </w:rPr>
        <w:lastRenderedPageBreak/>
        <w:t xml:space="preserve">PROFINET Communications </w:t>
      </w:r>
    </w:p>
    <w:p w:rsidR="0078408A" w:rsidRPr="0078408A" w:rsidRDefault="0078408A" w:rsidP="0078408A">
      <w:p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sz w:val="24"/>
          <w:szCs w:val="24"/>
        </w:rPr>
        <w:t>Distributed I/O (Remote I/O) is connected through PROFINET IO. In this configuration, which retains the I/O view of PROFIBUS, user data from field devices are periodically transmitted into the process model of the control system.</w:t>
      </w:r>
    </w:p>
    <w:p w:rsidR="0078408A" w:rsidRPr="0078408A" w:rsidRDefault="0078408A" w:rsidP="0078408A">
      <w:p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sz w:val="24"/>
          <w:szCs w:val="24"/>
        </w:rPr>
        <w:t>PROFINET IO describes a device model, which consists of insertion places (slots) and groups of I/O channels (</w:t>
      </w:r>
      <w:proofErr w:type="spellStart"/>
      <w:r w:rsidRPr="0078408A">
        <w:rPr>
          <w:rFonts w:ascii="Times New Roman" w:eastAsia="Times New Roman" w:hAnsi="Times New Roman" w:cs="Times New Roman"/>
          <w:sz w:val="24"/>
          <w:szCs w:val="24"/>
        </w:rPr>
        <w:t>subslots</w:t>
      </w:r>
      <w:proofErr w:type="spellEnd"/>
      <w:r w:rsidRPr="0078408A">
        <w:rPr>
          <w:rFonts w:ascii="Times New Roman" w:eastAsia="Times New Roman" w:hAnsi="Times New Roman" w:cs="Times New Roman"/>
          <w:sz w:val="24"/>
          <w:szCs w:val="24"/>
        </w:rPr>
        <w:t>). The technical characteristics of the field devices are described by the GSD (General Station Description) on an XML basis.</w:t>
      </w:r>
    </w:p>
    <w:p w:rsidR="0078408A" w:rsidRPr="0078408A" w:rsidRDefault="0078408A" w:rsidP="0078408A">
      <w:p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noProof/>
          <w:sz w:val="24"/>
          <w:szCs w:val="24"/>
        </w:rPr>
        <w:drawing>
          <wp:inline distT="0" distB="0" distL="0" distR="0">
            <wp:extent cx="4776107" cy="2571750"/>
            <wp:effectExtent l="0" t="0" r="5715" b="0"/>
            <wp:docPr id="6" name="Picture 6" descr="https://support.cognex.com/docs/is_574/web/EN/ise/Content/Images/ProfinetDiagram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upport.cognex.com/docs/is_574/web/EN/ise/Content/Images/ProfinetDiagram_01.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92798" cy="2580737"/>
                    </a:xfrm>
                    <a:prstGeom prst="rect">
                      <a:avLst/>
                    </a:prstGeom>
                    <a:noFill/>
                    <a:ln>
                      <a:noFill/>
                    </a:ln>
                  </pic:spPr>
                </pic:pic>
              </a:graphicData>
            </a:graphic>
          </wp:inline>
        </w:drawing>
      </w:r>
    </w:p>
    <w:p w:rsidR="0078408A" w:rsidRPr="0078408A" w:rsidRDefault="0078408A" w:rsidP="0078408A">
      <w:p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sz w:val="24"/>
          <w:szCs w:val="24"/>
        </w:rPr>
        <w:t>PROFINET IO distinguishes between the three following device types:</w:t>
      </w:r>
    </w:p>
    <w:p w:rsidR="0078408A" w:rsidRPr="0078408A" w:rsidRDefault="0078408A" w:rsidP="0078408A">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sz w:val="24"/>
          <w:szCs w:val="24"/>
        </w:rPr>
        <w:t>IO-Controller: Controller on which the automation program is run.</w:t>
      </w:r>
    </w:p>
    <w:p w:rsidR="0078408A" w:rsidRPr="0078408A" w:rsidRDefault="0078408A" w:rsidP="0078408A">
      <w:pPr>
        <w:numPr>
          <w:ilvl w:val="0"/>
          <w:numId w:val="6"/>
        </w:num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sz w:val="24"/>
          <w:szCs w:val="24"/>
        </w:rPr>
        <w:t>IO-Device: A remotely assigned field device, which is assigned to an IO-Controller.</w:t>
      </w:r>
    </w:p>
    <w:p w:rsidR="0078408A" w:rsidRPr="0078408A" w:rsidRDefault="0078408A" w:rsidP="0078408A">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sz w:val="24"/>
          <w:szCs w:val="24"/>
        </w:rPr>
        <w:t>IO-Supervisor: A programming device (PC), which runs commissioning and diagnostic functions.</w:t>
      </w:r>
    </w:p>
    <w:p w:rsidR="0078408A" w:rsidRPr="0078408A" w:rsidRDefault="0078408A" w:rsidP="0078408A">
      <w:p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sz w:val="24"/>
          <w:szCs w:val="24"/>
        </w:rPr>
        <w:t>The PROFINET IO engineering process is similar to PROFIBUS: Decentralized field buses are assigned to one or more control systems during configuration; the IO-Device is configured to the actual system expansion, based on the content in the GSD file; and the IO-Device is simultaneously integrated, appropriately parameterized and configured into the PROFINET topology (1).</w:t>
      </w:r>
    </w:p>
    <w:p w:rsidR="0078408A" w:rsidRPr="0078408A" w:rsidRDefault="0078408A" w:rsidP="0078408A">
      <w:p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sz w:val="24"/>
          <w:szCs w:val="24"/>
        </w:rPr>
        <w:t xml:space="preserve">After the engineering process has been completed, the expansion data is loaded into the IO-Controller (2). The IO-Controller independently takes over the data exchange with the IO-Device (3). </w:t>
      </w:r>
    </w:p>
    <w:p w:rsidR="0078408A" w:rsidRPr="0078408A" w:rsidRDefault="0078408A" w:rsidP="0078408A">
      <w:p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noProof/>
          <w:sz w:val="24"/>
          <w:szCs w:val="24"/>
        </w:rPr>
        <w:lastRenderedPageBreak/>
        <w:drawing>
          <wp:inline distT="0" distB="0" distL="0" distR="0">
            <wp:extent cx="4254500" cy="2127250"/>
            <wp:effectExtent l="0" t="0" r="0" b="6350"/>
            <wp:docPr id="5" name="Picture 5" descr="https://support.cognex.com/docs/is_574/web/EN/ise/Content/Images/ProfinetDiagram_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upport.cognex.com/docs/is_574/web/EN/ise/Content/Images/ProfinetDiagram_02.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54500" cy="2127250"/>
                    </a:xfrm>
                    <a:prstGeom prst="rect">
                      <a:avLst/>
                    </a:prstGeom>
                    <a:noFill/>
                    <a:ln>
                      <a:noFill/>
                    </a:ln>
                  </pic:spPr>
                </pic:pic>
              </a:graphicData>
            </a:graphic>
          </wp:inline>
        </w:drawing>
      </w:r>
    </w:p>
    <w:p w:rsidR="0078408A" w:rsidRPr="0078408A" w:rsidRDefault="0078408A" w:rsidP="0078408A">
      <w:pPr>
        <w:spacing w:before="100" w:beforeAutospacing="1" w:after="100" w:afterAutospacing="1" w:line="240" w:lineRule="auto"/>
        <w:rPr>
          <w:rFonts w:ascii="Times New Roman" w:eastAsia="Times New Roman" w:hAnsi="Times New Roman" w:cs="Times New Roman"/>
          <w:sz w:val="24"/>
          <w:szCs w:val="24"/>
        </w:rPr>
      </w:pPr>
      <w:r w:rsidRPr="0078408A">
        <w:rPr>
          <w:rFonts w:ascii="Times New Roman" w:eastAsia="Times New Roman" w:hAnsi="Times New Roman" w:cs="Times New Roman"/>
          <w:sz w:val="24"/>
          <w:szCs w:val="24"/>
        </w:rPr>
        <w:t>The In-Sight system supports PROFINET IO connections from two controllers (or supervisors) at any given time. The steps provided below describe how to use PROFINET IO to transfer data between In-Sight vision systems and a Siemens PLC.</w:t>
      </w:r>
    </w:p>
    <w:p w:rsidR="00005B6A" w:rsidRPr="00005B6A" w:rsidRDefault="00005B6A" w:rsidP="00005B6A">
      <w:pPr>
        <w:spacing w:before="100" w:beforeAutospacing="1" w:after="100" w:afterAutospacing="1" w:line="240" w:lineRule="auto"/>
        <w:outlineLvl w:val="0"/>
        <w:rPr>
          <w:rFonts w:ascii="Times New Roman" w:eastAsia="Times New Roman" w:hAnsi="Times New Roman" w:cs="Times New Roman"/>
          <w:b/>
          <w:bCs/>
          <w:kern w:val="36"/>
          <w:sz w:val="48"/>
          <w:szCs w:val="48"/>
        </w:rPr>
      </w:pPr>
      <w:r w:rsidRPr="00005B6A">
        <w:rPr>
          <w:rFonts w:ascii="Times New Roman" w:eastAsia="Times New Roman" w:hAnsi="Times New Roman" w:cs="Times New Roman"/>
          <w:b/>
          <w:bCs/>
          <w:kern w:val="36"/>
          <w:sz w:val="48"/>
          <w:szCs w:val="48"/>
        </w:rPr>
        <w:t>Getting Started</w:t>
      </w:r>
    </w:p>
    <w:p w:rsidR="00005B6A" w:rsidRPr="00005B6A" w:rsidRDefault="00005B6A" w:rsidP="00005B6A">
      <w:pPr>
        <w:spacing w:before="100" w:beforeAutospacing="1" w:after="100" w:afterAutospacing="1" w:line="240" w:lineRule="auto"/>
        <w:rPr>
          <w:rFonts w:ascii="Times New Roman" w:eastAsia="Times New Roman" w:hAnsi="Times New Roman" w:cs="Times New Roman"/>
          <w:sz w:val="24"/>
          <w:szCs w:val="24"/>
        </w:rPr>
      </w:pPr>
      <w:r w:rsidRPr="00005B6A">
        <w:rPr>
          <w:rFonts w:ascii="Times New Roman" w:eastAsia="Times New Roman" w:hAnsi="Times New Roman" w:cs="Times New Roman"/>
          <w:sz w:val="24"/>
          <w:szCs w:val="24"/>
        </w:rPr>
        <w:t>Preparing to use PROFINET involves the following main steps:</w:t>
      </w:r>
    </w:p>
    <w:p w:rsidR="00005B6A" w:rsidRPr="00005B6A" w:rsidRDefault="00005B6A" w:rsidP="00005B6A">
      <w:pPr>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005B6A">
        <w:rPr>
          <w:rFonts w:ascii="Times New Roman" w:eastAsia="Times New Roman" w:hAnsi="Times New Roman" w:cs="Times New Roman"/>
          <w:sz w:val="24"/>
          <w:szCs w:val="24"/>
        </w:rPr>
        <w:t>Make sure that you have either the SIMATIC Step 7 programming software or TIA Portal installed.</w:t>
      </w:r>
    </w:p>
    <w:p w:rsidR="00005B6A" w:rsidRPr="00005B6A" w:rsidRDefault="00005B6A" w:rsidP="00005B6A">
      <w:pPr>
        <w:numPr>
          <w:ilvl w:val="0"/>
          <w:numId w:val="9"/>
        </w:numPr>
        <w:spacing w:before="100" w:beforeAutospacing="1" w:after="100" w:afterAutospacing="1" w:line="240" w:lineRule="auto"/>
        <w:rPr>
          <w:rFonts w:ascii="Times New Roman" w:eastAsia="Times New Roman" w:hAnsi="Times New Roman" w:cs="Times New Roman"/>
          <w:sz w:val="24"/>
          <w:szCs w:val="24"/>
        </w:rPr>
      </w:pPr>
      <w:r w:rsidRPr="00005B6A">
        <w:rPr>
          <w:rFonts w:ascii="Times New Roman" w:eastAsia="Times New Roman" w:hAnsi="Times New Roman" w:cs="Times New Roman"/>
          <w:sz w:val="24"/>
          <w:szCs w:val="24"/>
        </w:rPr>
        <w:t xml:space="preserve">Set up the Siemens Software tool so that it recognizes your </w:t>
      </w:r>
      <w:proofErr w:type="spellStart"/>
      <w:r w:rsidRPr="00005B6A">
        <w:rPr>
          <w:rFonts w:ascii="Times New Roman" w:eastAsia="Times New Roman" w:hAnsi="Times New Roman" w:cs="Times New Roman"/>
          <w:sz w:val="24"/>
          <w:szCs w:val="24"/>
        </w:rPr>
        <w:t>DataMan</w:t>
      </w:r>
      <w:proofErr w:type="spellEnd"/>
      <w:r w:rsidRPr="00005B6A">
        <w:rPr>
          <w:rFonts w:ascii="Times New Roman" w:eastAsia="Times New Roman" w:hAnsi="Times New Roman" w:cs="Times New Roman"/>
          <w:sz w:val="24"/>
          <w:szCs w:val="24"/>
        </w:rPr>
        <w:t xml:space="preserve"> device.</w:t>
      </w:r>
    </w:p>
    <w:p w:rsidR="00005B6A" w:rsidRPr="00005B6A" w:rsidRDefault="00005B6A" w:rsidP="00005B6A">
      <w:pPr>
        <w:numPr>
          <w:ilvl w:val="0"/>
          <w:numId w:val="10"/>
        </w:numPr>
        <w:spacing w:before="100" w:beforeAutospacing="1" w:after="100" w:afterAutospacing="1" w:line="240" w:lineRule="auto"/>
        <w:rPr>
          <w:rFonts w:ascii="Times New Roman" w:eastAsia="Times New Roman" w:hAnsi="Times New Roman" w:cs="Times New Roman"/>
          <w:sz w:val="24"/>
          <w:szCs w:val="24"/>
        </w:rPr>
      </w:pPr>
      <w:r w:rsidRPr="00005B6A">
        <w:rPr>
          <w:rFonts w:ascii="Times New Roman" w:eastAsia="Times New Roman" w:hAnsi="Times New Roman" w:cs="Times New Roman"/>
          <w:sz w:val="24"/>
          <w:szCs w:val="24"/>
        </w:rPr>
        <w:t>Install the Generic Station Description (GSD) file.</w:t>
      </w:r>
    </w:p>
    <w:p w:rsidR="00005B6A" w:rsidRPr="00005B6A" w:rsidRDefault="00005B6A" w:rsidP="00005B6A">
      <w:pPr>
        <w:spacing w:after="0" w:line="240" w:lineRule="auto"/>
        <w:rPr>
          <w:rFonts w:ascii="Times New Roman" w:eastAsia="Times New Roman" w:hAnsi="Times New Roman" w:cs="Times New Roman"/>
          <w:sz w:val="24"/>
          <w:szCs w:val="24"/>
        </w:rPr>
      </w:pPr>
      <w:r w:rsidRPr="00005B6A">
        <w:rPr>
          <w:rFonts w:ascii="Times New Roman" w:eastAsia="Times New Roman" w:hAnsi="Times New Roman" w:cs="Times New Roman"/>
          <w:b/>
          <w:bCs/>
          <w:sz w:val="24"/>
          <w:szCs w:val="24"/>
        </w:rPr>
        <w:t>Note</w:t>
      </w:r>
      <w:r w:rsidRPr="00005B6A">
        <w:rPr>
          <w:rFonts w:ascii="Times New Roman" w:eastAsia="Times New Roman" w:hAnsi="Times New Roman" w:cs="Times New Roman"/>
          <w:sz w:val="24"/>
          <w:szCs w:val="24"/>
        </w:rPr>
        <w:t>: Expanding the process image can have a performance impact on the PLC scan cycle time. If your scan time is critical, use the minimal acceptable module sizes and manually remap them down lower in the process image.</w:t>
      </w:r>
    </w:p>
    <w:p w:rsidR="00005B6A" w:rsidRPr="00005B6A" w:rsidRDefault="00005B6A" w:rsidP="00005B6A">
      <w:pPr>
        <w:spacing w:before="100" w:beforeAutospacing="1" w:after="100" w:afterAutospacing="1" w:line="240" w:lineRule="auto"/>
        <w:rPr>
          <w:rFonts w:ascii="Times New Roman" w:eastAsia="Times New Roman" w:hAnsi="Times New Roman" w:cs="Times New Roman"/>
          <w:sz w:val="24"/>
          <w:szCs w:val="24"/>
        </w:rPr>
      </w:pPr>
      <w:r w:rsidRPr="00005B6A">
        <w:rPr>
          <w:rFonts w:ascii="Times New Roman" w:eastAsia="Times New Roman" w:hAnsi="Times New Roman" w:cs="Times New Roman"/>
          <w:sz w:val="24"/>
          <w:szCs w:val="24"/>
        </w:rPr>
        <w:t>Perform the following steps to set up PROFINET using SIMATIC or TIA Portal:</w:t>
      </w:r>
    </w:p>
    <w:p w:rsidR="00005B6A" w:rsidRPr="00005B6A" w:rsidRDefault="00005B6A" w:rsidP="00005B6A">
      <w:pPr>
        <w:numPr>
          <w:ilvl w:val="0"/>
          <w:numId w:val="11"/>
        </w:numPr>
        <w:spacing w:before="100" w:beforeAutospacing="1" w:after="100" w:afterAutospacing="1" w:line="240" w:lineRule="auto"/>
        <w:rPr>
          <w:rFonts w:ascii="Times New Roman" w:eastAsia="Times New Roman" w:hAnsi="Times New Roman" w:cs="Times New Roman"/>
          <w:sz w:val="24"/>
          <w:szCs w:val="24"/>
        </w:rPr>
      </w:pPr>
      <w:r w:rsidRPr="00005B6A">
        <w:rPr>
          <w:rFonts w:ascii="Times New Roman" w:eastAsia="Times New Roman" w:hAnsi="Times New Roman" w:cs="Times New Roman"/>
          <w:sz w:val="24"/>
          <w:szCs w:val="24"/>
        </w:rPr>
        <w:t xml:space="preserve">Verify that SIMATIC is on your machine. </w:t>
      </w:r>
    </w:p>
    <w:p w:rsidR="00005B6A" w:rsidRPr="00005B6A" w:rsidRDefault="00005B6A" w:rsidP="00005B6A">
      <w:pPr>
        <w:numPr>
          <w:ilvl w:val="0"/>
          <w:numId w:val="12"/>
        </w:numPr>
        <w:spacing w:before="100" w:beforeAutospacing="1" w:after="100" w:afterAutospacing="1" w:line="240" w:lineRule="auto"/>
        <w:rPr>
          <w:rFonts w:ascii="Times New Roman" w:eastAsia="Times New Roman" w:hAnsi="Times New Roman" w:cs="Times New Roman"/>
          <w:sz w:val="24"/>
          <w:szCs w:val="24"/>
        </w:rPr>
      </w:pPr>
      <w:r w:rsidRPr="00005B6A">
        <w:rPr>
          <w:rFonts w:ascii="Times New Roman" w:eastAsia="Times New Roman" w:hAnsi="Times New Roman" w:cs="Times New Roman"/>
          <w:sz w:val="24"/>
          <w:szCs w:val="24"/>
        </w:rPr>
        <w:t xml:space="preserve">From the Windows </w:t>
      </w:r>
      <w:r w:rsidRPr="00005B6A">
        <w:rPr>
          <w:rFonts w:ascii="Times New Roman" w:eastAsia="Times New Roman" w:hAnsi="Times New Roman" w:cs="Times New Roman"/>
          <w:b/>
          <w:bCs/>
          <w:sz w:val="24"/>
          <w:szCs w:val="24"/>
        </w:rPr>
        <w:t>Start</w:t>
      </w:r>
      <w:r w:rsidRPr="00005B6A">
        <w:rPr>
          <w:rFonts w:ascii="Times New Roman" w:eastAsia="Times New Roman" w:hAnsi="Times New Roman" w:cs="Times New Roman"/>
          <w:sz w:val="24"/>
          <w:szCs w:val="24"/>
        </w:rPr>
        <w:t xml:space="preserve"> menu, go to </w:t>
      </w:r>
      <w:proofErr w:type="spellStart"/>
      <w:r w:rsidRPr="00005B6A">
        <w:rPr>
          <w:rFonts w:ascii="Times New Roman" w:eastAsia="Times New Roman" w:hAnsi="Times New Roman" w:cs="Times New Roman"/>
          <w:sz w:val="24"/>
          <w:szCs w:val="24"/>
        </w:rPr>
        <w:t>Cognex</w:t>
      </w:r>
      <w:proofErr w:type="spellEnd"/>
      <w:r w:rsidRPr="00005B6A">
        <w:rPr>
          <w:rFonts w:ascii="Times New Roman" w:eastAsia="Times New Roman" w:hAnsi="Times New Roman" w:cs="Times New Roman"/>
          <w:sz w:val="24"/>
          <w:szCs w:val="24"/>
        </w:rPr>
        <w:t xml:space="preserve"> and select the folder that contains the PROFINET tools.</w:t>
      </w:r>
    </w:p>
    <w:p w:rsidR="00005B6A" w:rsidRPr="00005B6A" w:rsidRDefault="00005B6A" w:rsidP="00005B6A">
      <w:pPr>
        <w:spacing w:before="100" w:beforeAutospacing="1" w:after="100" w:afterAutospacing="1" w:line="240" w:lineRule="auto"/>
        <w:ind w:left="720"/>
        <w:rPr>
          <w:rFonts w:ascii="Times New Roman" w:eastAsia="Times New Roman" w:hAnsi="Times New Roman" w:cs="Times New Roman"/>
          <w:sz w:val="24"/>
          <w:szCs w:val="24"/>
        </w:rPr>
      </w:pPr>
      <w:r w:rsidRPr="00005B6A">
        <w:rPr>
          <w:rFonts w:ascii="Times New Roman" w:eastAsia="Times New Roman" w:hAnsi="Times New Roman" w:cs="Times New Roman"/>
          <w:noProof/>
          <w:sz w:val="24"/>
          <w:szCs w:val="24"/>
        </w:rPr>
        <w:lastRenderedPageBreak/>
        <w:drawing>
          <wp:inline distT="0" distB="0" distL="0" distR="0">
            <wp:extent cx="2647950" cy="3790950"/>
            <wp:effectExtent l="0" t="0" r="0" b="0"/>
            <wp:docPr id="11" name="Picture 11" descr="https://support.cognex.com/docs/dmst_616SR1/web/EN/Industrial_Protocols_Manual/Content/Images/cognex_start_men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pport.cognex.com/docs/dmst_616SR1/web/EN/Industrial_Protocols_Manual/Content/Images/cognex_start_menu.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47950" cy="3790950"/>
                    </a:xfrm>
                    <a:prstGeom prst="rect">
                      <a:avLst/>
                    </a:prstGeom>
                    <a:noFill/>
                    <a:ln>
                      <a:noFill/>
                    </a:ln>
                  </pic:spPr>
                </pic:pic>
              </a:graphicData>
            </a:graphic>
          </wp:inline>
        </w:drawing>
      </w:r>
    </w:p>
    <w:p w:rsidR="00005B6A" w:rsidRPr="00005B6A" w:rsidRDefault="00005B6A" w:rsidP="00005B6A">
      <w:pPr>
        <w:spacing w:before="100" w:beforeAutospacing="1" w:after="100" w:afterAutospacing="1" w:line="240" w:lineRule="auto"/>
        <w:ind w:left="720"/>
        <w:rPr>
          <w:rFonts w:ascii="Times New Roman" w:eastAsia="Times New Roman" w:hAnsi="Times New Roman" w:cs="Times New Roman"/>
          <w:sz w:val="24"/>
          <w:szCs w:val="24"/>
        </w:rPr>
      </w:pPr>
      <w:r w:rsidRPr="00005B6A">
        <w:rPr>
          <w:rFonts w:ascii="Times New Roman" w:eastAsia="Times New Roman" w:hAnsi="Times New Roman" w:cs="Times New Roman"/>
          <w:noProof/>
          <w:sz w:val="24"/>
          <w:szCs w:val="24"/>
        </w:rPr>
        <w:drawing>
          <wp:inline distT="0" distB="0" distL="0" distR="0">
            <wp:extent cx="5460844" cy="1119936"/>
            <wp:effectExtent l="0" t="0" r="6985" b="4445"/>
            <wp:docPr id="10" name="Picture 10" descr="https://support.cognex.com/docs/dmst_616SR1/web/EN/Industrial_Protocols_Manual/Content/Images/gsdm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upport.cognex.com/docs/dmst_616SR1/web/EN/Industrial_Protocols_Manual/Content/Images/gsdml.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90650" cy="1146557"/>
                    </a:xfrm>
                    <a:prstGeom prst="rect">
                      <a:avLst/>
                    </a:prstGeom>
                    <a:noFill/>
                    <a:ln>
                      <a:noFill/>
                    </a:ln>
                  </pic:spPr>
                </pic:pic>
              </a:graphicData>
            </a:graphic>
          </wp:inline>
        </w:drawing>
      </w:r>
    </w:p>
    <w:p w:rsidR="00005B6A" w:rsidRPr="00005B6A" w:rsidRDefault="00005B6A" w:rsidP="00005B6A">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005B6A">
        <w:rPr>
          <w:rFonts w:ascii="Times New Roman" w:eastAsia="Times New Roman" w:hAnsi="Times New Roman" w:cs="Times New Roman"/>
          <w:sz w:val="24"/>
          <w:szCs w:val="24"/>
        </w:rPr>
        <w:t xml:space="preserve">Check if the </w:t>
      </w:r>
      <w:proofErr w:type="spellStart"/>
      <w:r w:rsidRPr="00005B6A">
        <w:rPr>
          <w:rFonts w:ascii="Times New Roman" w:eastAsia="Times New Roman" w:hAnsi="Times New Roman" w:cs="Times New Roman"/>
          <w:sz w:val="24"/>
          <w:szCs w:val="24"/>
        </w:rPr>
        <w:t>DataMan's</w:t>
      </w:r>
      <w:proofErr w:type="spellEnd"/>
      <w:r w:rsidRPr="00005B6A">
        <w:rPr>
          <w:rFonts w:ascii="Times New Roman" w:eastAsia="Times New Roman" w:hAnsi="Times New Roman" w:cs="Times New Roman"/>
          <w:sz w:val="24"/>
          <w:szCs w:val="24"/>
        </w:rPr>
        <w:t xml:space="preserve"> firmware is up-to-date by clicking, in the Setup Tool, </w:t>
      </w:r>
      <w:r w:rsidRPr="00005B6A">
        <w:rPr>
          <w:rFonts w:ascii="Times New Roman" w:eastAsia="Times New Roman" w:hAnsi="Times New Roman" w:cs="Times New Roman"/>
          <w:b/>
          <w:bCs/>
          <w:sz w:val="24"/>
          <w:szCs w:val="24"/>
        </w:rPr>
        <w:t>View</w:t>
      </w:r>
      <w:r w:rsidRPr="00005B6A">
        <w:rPr>
          <w:rFonts w:ascii="Times New Roman" w:eastAsia="Times New Roman" w:hAnsi="Times New Roman" w:cs="Times New Roman"/>
          <w:sz w:val="24"/>
          <w:szCs w:val="24"/>
        </w:rPr>
        <w:t xml:space="preserve"> and then </w:t>
      </w:r>
      <w:r w:rsidRPr="00005B6A">
        <w:rPr>
          <w:rFonts w:ascii="Times New Roman" w:eastAsia="Times New Roman" w:hAnsi="Times New Roman" w:cs="Times New Roman"/>
          <w:b/>
          <w:bCs/>
          <w:sz w:val="24"/>
          <w:szCs w:val="24"/>
        </w:rPr>
        <w:t>System Info</w:t>
      </w:r>
      <w:r w:rsidRPr="00005B6A">
        <w:rPr>
          <w:rFonts w:ascii="Times New Roman" w:eastAsia="Times New Roman" w:hAnsi="Times New Roman" w:cs="Times New Roman"/>
          <w:sz w:val="24"/>
          <w:szCs w:val="24"/>
        </w:rPr>
        <w:t xml:space="preserve">. </w:t>
      </w:r>
    </w:p>
    <w:p w:rsidR="00005B6A" w:rsidRPr="00005B6A" w:rsidRDefault="00005B6A" w:rsidP="00005B6A">
      <w:pPr>
        <w:numPr>
          <w:ilvl w:val="0"/>
          <w:numId w:val="14"/>
        </w:numPr>
        <w:spacing w:before="100" w:beforeAutospacing="1" w:after="100" w:afterAutospacing="1" w:line="240" w:lineRule="auto"/>
        <w:rPr>
          <w:rFonts w:ascii="Times New Roman" w:eastAsia="Times New Roman" w:hAnsi="Times New Roman" w:cs="Times New Roman"/>
          <w:sz w:val="24"/>
          <w:szCs w:val="24"/>
        </w:rPr>
      </w:pPr>
      <w:r w:rsidRPr="00005B6A">
        <w:rPr>
          <w:rFonts w:ascii="Times New Roman" w:eastAsia="Times New Roman" w:hAnsi="Times New Roman" w:cs="Times New Roman"/>
          <w:sz w:val="24"/>
          <w:szCs w:val="24"/>
        </w:rPr>
        <w:t xml:space="preserve">Make sure that in the Setup Tool, </w:t>
      </w:r>
      <w:r w:rsidRPr="00005B6A">
        <w:rPr>
          <w:rFonts w:ascii="Times New Roman" w:eastAsia="Times New Roman" w:hAnsi="Times New Roman" w:cs="Times New Roman"/>
          <w:b/>
          <w:bCs/>
          <w:sz w:val="24"/>
          <w:szCs w:val="24"/>
        </w:rPr>
        <w:t>PROFINET</w:t>
      </w:r>
      <w:r w:rsidRPr="00005B6A">
        <w:rPr>
          <w:rFonts w:ascii="Times New Roman" w:eastAsia="Times New Roman" w:hAnsi="Times New Roman" w:cs="Times New Roman"/>
          <w:sz w:val="24"/>
          <w:szCs w:val="24"/>
        </w:rPr>
        <w:t xml:space="preserve"> is enabled. </w:t>
      </w:r>
    </w:p>
    <w:p w:rsidR="00005B6A" w:rsidRPr="00005B6A" w:rsidRDefault="00005B6A" w:rsidP="00005B6A">
      <w:pPr>
        <w:spacing w:before="100" w:beforeAutospacing="1" w:after="100" w:afterAutospacing="1" w:line="240" w:lineRule="auto"/>
        <w:ind w:left="720"/>
        <w:rPr>
          <w:rFonts w:ascii="Times New Roman" w:eastAsia="Times New Roman" w:hAnsi="Times New Roman" w:cs="Times New Roman"/>
          <w:sz w:val="24"/>
          <w:szCs w:val="24"/>
        </w:rPr>
      </w:pPr>
      <w:r w:rsidRPr="00005B6A">
        <w:rPr>
          <w:rFonts w:ascii="Times New Roman" w:eastAsia="Times New Roman" w:hAnsi="Times New Roman" w:cs="Times New Roman"/>
          <w:noProof/>
          <w:sz w:val="24"/>
          <w:szCs w:val="24"/>
        </w:rPr>
        <w:lastRenderedPageBreak/>
        <w:drawing>
          <wp:inline distT="0" distB="0" distL="0" distR="0">
            <wp:extent cx="5424975" cy="4780915"/>
            <wp:effectExtent l="0" t="0" r="4445" b="635"/>
            <wp:docPr id="9" name="Picture 9" descr="https://support.cognex.com/docs/dmst_616SR1/web/EN/Industrial_Protocols_Manual/Content/Resources/Images/profin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upport.cognex.com/docs/dmst_616SR1/web/EN/Industrial_Protocols_Manual/Content/Resources/Images/profinet.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9923" cy="4802901"/>
                    </a:xfrm>
                    <a:prstGeom prst="rect">
                      <a:avLst/>
                    </a:prstGeom>
                    <a:noFill/>
                    <a:ln>
                      <a:noFill/>
                    </a:ln>
                  </pic:spPr>
                </pic:pic>
              </a:graphicData>
            </a:graphic>
          </wp:inline>
        </w:drawing>
      </w:r>
    </w:p>
    <w:p w:rsidR="00005B6A" w:rsidRPr="00005B6A" w:rsidRDefault="00005B6A" w:rsidP="00005B6A">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005B6A">
        <w:rPr>
          <w:rFonts w:ascii="Times New Roman" w:eastAsia="Times New Roman" w:hAnsi="Times New Roman" w:cs="Times New Roman"/>
          <w:sz w:val="24"/>
          <w:szCs w:val="24"/>
        </w:rPr>
        <w:t xml:space="preserve">Download the </w:t>
      </w:r>
      <w:r w:rsidRPr="00005B6A">
        <w:rPr>
          <w:rFonts w:ascii="Times New Roman" w:eastAsia="Times New Roman" w:hAnsi="Times New Roman" w:cs="Times New Roman"/>
          <w:i/>
          <w:iCs/>
          <w:sz w:val="24"/>
          <w:szCs w:val="24"/>
        </w:rPr>
        <w:t>TIA Portal Integration Guide</w:t>
      </w:r>
      <w:r w:rsidRPr="00005B6A">
        <w:rPr>
          <w:rFonts w:ascii="Times New Roman" w:eastAsia="Times New Roman" w:hAnsi="Times New Roman" w:cs="Times New Roman"/>
          <w:sz w:val="24"/>
          <w:szCs w:val="24"/>
        </w:rPr>
        <w:t xml:space="preserve"> from https://support.cognex.com/en/downloads/detail/in-sight/3687/1033. </w:t>
      </w:r>
    </w:p>
    <w:p w:rsidR="00005B6A" w:rsidRPr="00005B6A" w:rsidRDefault="00005B6A" w:rsidP="00005B6A">
      <w:pPr>
        <w:spacing w:before="100" w:beforeAutospacing="1" w:after="100" w:afterAutospacing="1" w:line="240" w:lineRule="auto"/>
        <w:ind w:left="720"/>
        <w:rPr>
          <w:rFonts w:ascii="Times New Roman" w:eastAsia="Times New Roman" w:hAnsi="Times New Roman" w:cs="Times New Roman"/>
          <w:sz w:val="24"/>
          <w:szCs w:val="24"/>
        </w:rPr>
      </w:pPr>
      <w:r w:rsidRPr="00005B6A">
        <w:rPr>
          <w:rFonts w:ascii="Times New Roman" w:eastAsia="Times New Roman" w:hAnsi="Times New Roman" w:cs="Times New Roman"/>
          <w:noProof/>
          <w:sz w:val="24"/>
          <w:szCs w:val="24"/>
        </w:rPr>
        <w:lastRenderedPageBreak/>
        <w:drawing>
          <wp:inline distT="0" distB="0" distL="0" distR="0">
            <wp:extent cx="5427345" cy="3393421"/>
            <wp:effectExtent l="0" t="0" r="1905" b="0"/>
            <wp:docPr id="8" name="Picture 8" descr="https://support.cognex.com/docs/dmst_616SR1/web/EN/Industrial_Protocols_Manual/Content/Images/TIA_sup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upport.cognex.com/docs/dmst_616SR1/web/EN/Industrial_Protocols_Manual/Content/Images/TIA_support.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76416" cy="3424103"/>
                    </a:xfrm>
                    <a:prstGeom prst="rect">
                      <a:avLst/>
                    </a:prstGeom>
                    <a:noFill/>
                    <a:ln>
                      <a:noFill/>
                    </a:ln>
                  </pic:spPr>
                </pic:pic>
              </a:graphicData>
            </a:graphic>
          </wp:inline>
        </w:drawing>
      </w:r>
    </w:p>
    <w:p w:rsidR="00005B6A" w:rsidRPr="00005B6A" w:rsidRDefault="00005B6A" w:rsidP="00005B6A">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005B6A">
        <w:rPr>
          <w:rFonts w:ascii="Times New Roman" w:eastAsia="Times New Roman" w:hAnsi="Times New Roman" w:cs="Times New Roman"/>
          <w:sz w:val="24"/>
          <w:szCs w:val="24"/>
        </w:rPr>
        <w:t xml:space="preserve">Open the </w:t>
      </w:r>
      <w:r w:rsidRPr="00005B6A">
        <w:rPr>
          <w:rFonts w:ascii="Times New Roman" w:eastAsia="Times New Roman" w:hAnsi="Times New Roman" w:cs="Times New Roman"/>
          <w:i/>
          <w:iCs/>
          <w:sz w:val="24"/>
          <w:szCs w:val="24"/>
        </w:rPr>
        <w:t>PROFINET Tag Generator</w:t>
      </w:r>
      <w:r w:rsidRPr="00005B6A">
        <w:rPr>
          <w:rFonts w:ascii="Times New Roman" w:eastAsia="Times New Roman" w:hAnsi="Times New Roman" w:cs="Times New Roman"/>
          <w:sz w:val="24"/>
          <w:szCs w:val="24"/>
        </w:rPr>
        <w:t xml:space="preserve"> file that is included in the </w:t>
      </w:r>
      <w:r w:rsidRPr="00005B6A">
        <w:rPr>
          <w:rFonts w:ascii="Times New Roman" w:eastAsia="Times New Roman" w:hAnsi="Times New Roman" w:cs="Times New Roman"/>
          <w:i/>
          <w:iCs/>
          <w:sz w:val="24"/>
          <w:szCs w:val="24"/>
        </w:rPr>
        <w:t>TIA Portal Integration Guide</w:t>
      </w:r>
      <w:r w:rsidRPr="00005B6A">
        <w:rPr>
          <w:rFonts w:ascii="Times New Roman" w:eastAsia="Times New Roman" w:hAnsi="Times New Roman" w:cs="Times New Roman"/>
          <w:sz w:val="24"/>
          <w:szCs w:val="24"/>
        </w:rPr>
        <w:t>.</w:t>
      </w:r>
    </w:p>
    <w:p w:rsidR="00005B6A" w:rsidRPr="00005B6A" w:rsidRDefault="00005B6A" w:rsidP="00005B6A">
      <w:pPr>
        <w:spacing w:before="100" w:beforeAutospacing="1" w:after="100" w:afterAutospacing="1" w:line="240" w:lineRule="auto"/>
        <w:ind w:left="720"/>
        <w:rPr>
          <w:rFonts w:ascii="Times New Roman" w:eastAsia="Times New Roman" w:hAnsi="Times New Roman" w:cs="Times New Roman"/>
          <w:sz w:val="24"/>
          <w:szCs w:val="24"/>
        </w:rPr>
      </w:pPr>
      <w:r w:rsidRPr="00005B6A">
        <w:rPr>
          <w:rFonts w:ascii="Times New Roman" w:eastAsia="Times New Roman" w:hAnsi="Times New Roman" w:cs="Times New Roman"/>
          <w:noProof/>
          <w:sz w:val="24"/>
          <w:szCs w:val="24"/>
        </w:rPr>
        <w:lastRenderedPageBreak/>
        <w:drawing>
          <wp:inline distT="0" distB="0" distL="0" distR="0">
            <wp:extent cx="5474041" cy="4344360"/>
            <wp:effectExtent l="0" t="0" r="0" b="0"/>
            <wp:docPr id="7" name="Picture 7" descr="https://support.cognex.com/docs/dmst_616SR1/web/EN/Industrial_Protocols_Manual/Content/Images/tag_genera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upport.cognex.com/docs/dmst_616SR1/web/EN/Industrial_Protocols_Manual/Content/Images/tag_generator.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08463" cy="4371678"/>
                    </a:xfrm>
                    <a:prstGeom prst="rect">
                      <a:avLst/>
                    </a:prstGeom>
                    <a:noFill/>
                    <a:ln>
                      <a:noFill/>
                    </a:ln>
                  </pic:spPr>
                </pic:pic>
              </a:graphicData>
            </a:graphic>
          </wp:inline>
        </w:drawing>
      </w:r>
    </w:p>
    <w:p w:rsidR="00005B6A" w:rsidRPr="00005B6A" w:rsidRDefault="00005B6A" w:rsidP="00005B6A">
      <w:pPr>
        <w:numPr>
          <w:ilvl w:val="0"/>
          <w:numId w:val="17"/>
        </w:numPr>
        <w:spacing w:before="100" w:beforeAutospacing="1" w:after="100" w:afterAutospacing="1" w:line="240" w:lineRule="auto"/>
        <w:rPr>
          <w:rFonts w:ascii="Times New Roman" w:eastAsia="Times New Roman" w:hAnsi="Times New Roman" w:cs="Times New Roman"/>
          <w:sz w:val="24"/>
          <w:szCs w:val="24"/>
        </w:rPr>
      </w:pPr>
      <w:r w:rsidRPr="00005B6A">
        <w:rPr>
          <w:rFonts w:ascii="Times New Roman" w:eastAsia="Times New Roman" w:hAnsi="Times New Roman" w:cs="Times New Roman"/>
          <w:sz w:val="24"/>
          <w:szCs w:val="24"/>
        </w:rPr>
        <w:t xml:space="preserve">From the Windows </w:t>
      </w:r>
      <w:r w:rsidRPr="00005B6A">
        <w:rPr>
          <w:rFonts w:ascii="Times New Roman" w:eastAsia="Times New Roman" w:hAnsi="Times New Roman" w:cs="Times New Roman"/>
          <w:b/>
          <w:bCs/>
          <w:sz w:val="24"/>
          <w:szCs w:val="24"/>
        </w:rPr>
        <w:t>Start</w:t>
      </w:r>
      <w:r w:rsidRPr="00005B6A">
        <w:rPr>
          <w:rFonts w:ascii="Times New Roman" w:eastAsia="Times New Roman" w:hAnsi="Times New Roman" w:cs="Times New Roman"/>
          <w:sz w:val="24"/>
          <w:szCs w:val="24"/>
        </w:rPr>
        <w:t xml:space="preserve"> menu, launch the SIMATIC Manager or TIA Portal.</w:t>
      </w:r>
    </w:p>
    <w:p w:rsidR="0078408A" w:rsidRDefault="0078408A"/>
    <w:p w:rsidR="00783AD1" w:rsidRDefault="00783AD1"/>
    <w:p w:rsidR="00783AD1" w:rsidRDefault="00783AD1"/>
    <w:p w:rsidR="00783AD1" w:rsidRDefault="00783AD1" w:rsidP="00783AD1">
      <w:pPr>
        <w:pStyle w:val="Heading1"/>
      </w:pPr>
      <w:r>
        <w:t>TIA Portal Examples</w:t>
      </w:r>
    </w:p>
    <w:p w:rsidR="00783AD1" w:rsidRDefault="00783AD1" w:rsidP="00783AD1">
      <w:pPr>
        <w:pStyle w:val="NormalWeb"/>
      </w:pPr>
      <w:r>
        <w:t xml:space="preserve">This section gives some examples of using the </w:t>
      </w:r>
      <w:proofErr w:type="spellStart"/>
      <w:r>
        <w:t>DataMan</w:t>
      </w:r>
      <w:proofErr w:type="spellEnd"/>
      <w:r>
        <w:t xml:space="preserve"> with a Siemens S7-1200 PLC, assuming that you are familiar with the S7-1200 and TIA Portal.</w:t>
      </w:r>
    </w:p>
    <w:p w:rsidR="00783AD1" w:rsidRDefault="00783AD1" w:rsidP="00783AD1">
      <w:pPr>
        <w:numPr>
          <w:ilvl w:val="0"/>
          <w:numId w:val="18"/>
        </w:numPr>
        <w:spacing w:before="100" w:beforeAutospacing="1" w:after="100" w:afterAutospacing="1" w:line="240" w:lineRule="auto"/>
      </w:pPr>
      <w:r>
        <w:t>In TIA Portal, either create a new project, or open an existing one.</w:t>
      </w:r>
    </w:p>
    <w:p w:rsidR="00783AD1" w:rsidRDefault="00783AD1" w:rsidP="00783AD1">
      <w:pPr>
        <w:numPr>
          <w:ilvl w:val="0"/>
          <w:numId w:val="19"/>
        </w:numPr>
        <w:spacing w:before="100" w:beforeAutospacing="1" w:after="100" w:afterAutospacing="1" w:line="240" w:lineRule="auto"/>
      </w:pPr>
      <w:r>
        <w:t xml:space="preserve">In </w:t>
      </w:r>
      <w:r>
        <w:rPr>
          <w:b/>
          <w:bCs/>
        </w:rPr>
        <w:t>Project View</w:t>
      </w:r>
      <w:r>
        <w:t xml:space="preserve">, click </w:t>
      </w:r>
      <w:r>
        <w:rPr>
          <w:b/>
          <w:bCs/>
        </w:rPr>
        <w:t>Options</w:t>
      </w:r>
      <w:r>
        <w:t xml:space="preserve"> and click </w:t>
      </w:r>
      <w:r>
        <w:rPr>
          <w:b/>
          <w:bCs/>
        </w:rPr>
        <w:t>Manage general station description files (GSD).</w:t>
      </w:r>
    </w:p>
    <w:p w:rsidR="00783AD1" w:rsidRDefault="00783AD1" w:rsidP="00783AD1">
      <w:pPr>
        <w:pStyle w:val="NormalWeb"/>
        <w:ind w:left="720"/>
      </w:pPr>
      <w:r>
        <w:rPr>
          <w:noProof/>
        </w:rPr>
        <w:lastRenderedPageBreak/>
        <w:drawing>
          <wp:inline distT="0" distB="0" distL="0" distR="0">
            <wp:extent cx="7829550" cy="5708650"/>
            <wp:effectExtent l="0" t="0" r="0" b="6350"/>
            <wp:docPr id="28" name="Picture 28" descr="https://support.cognex.com/docs/dmst_616SR1/web/EN/Industrial_Protocols_Manual/Content/Images/g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upport.cognex.com/docs/dmst_616SR1/web/EN/Industrial_Protocols_Manual/Content/Images/gsd.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829550" cy="5708650"/>
                    </a:xfrm>
                    <a:prstGeom prst="rect">
                      <a:avLst/>
                    </a:prstGeom>
                    <a:noFill/>
                    <a:ln>
                      <a:noFill/>
                    </a:ln>
                  </pic:spPr>
                </pic:pic>
              </a:graphicData>
            </a:graphic>
          </wp:inline>
        </w:drawing>
      </w:r>
    </w:p>
    <w:p w:rsidR="00783AD1" w:rsidRDefault="00783AD1" w:rsidP="00783AD1">
      <w:pPr>
        <w:numPr>
          <w:ilvl w:val="0"/>
          <w:numId w:val="20"/>
        </w:numPr>
        <w:spacing w:before="100" w:beforeAutospacing="1" w:after="100" w:afterAutospacing="1" w:line="240" w:lineRule="auto"/>
      </w:pPr>
      <w:r>
        <w:t>Browse to the installation folder of the GSD file (or the location where you saved the GSD file if you downloaded it from the web).</w:t>
      </w:r>
    </w:p>
    <w:p w:rsidR="00783AD1" w:rsidRDefault="00783AD1" w:rsidP="00783AD1">
      <w:pPr>
        <w:numPr>
          <w:ilvl w:val="0"/>
          <w:numId w:val="21"/>
        </w:numPr>
        <w:spacing w:before="100" w:beforeAutospacing="1" w:after="100" w:afterAutospacing="1" w:line="240" w:lineRule="auto"/>
      </w:pPr>
      <w:r>
        <w:t>Select the GSD file you wish to install and follow the displayed instructions to complete the installation.</w:t>
      </w:r>
    </w:p>
    <w:p w:rsidR="00783AD1" w:rsidRDefault="00783AD1" w:rsidP="00783AD1">
      <w:pPr>
        <w:spacing w:after="0"/>
      </w:pPr>
      <w:r>
        <w:rPr>
          <w:rStyle w:val="autonumber"/>
          <w:b/>
          <w:bCs/>
        </w:rPr>
        <w:t>Note</w:t>
      </w:r>
      <w:r>
        <w:rPr>
          <w:rStyle w:val="autonumber"/>
        </w:rPr>
        <w:t xml:space="preserve">: </w:t>
      </w:r>
      <w:r>
        <w:t>If there is more than one GSD file in the list and you are unsure which to install, choose the one with the most recent date.</w:t>
      </w:r>
    </w:p>
    <w:p w:rsidR="00783AD1" w:rsidRDefault="00783AD1" w:rsidP="00783AD1">
      <w:pPr>
        <w:pStyle w:val="image"/>
      </w:pPr>
      <w:r>
        <w:rPr>
          <w:noProof/>
        </w:rPr>
        <w:lastRenderedPageBreak/>
        <w:drawing>
          <wp:inline distT="0" distB="0" distL="0" distR="0">
            <wp:extent cx="6172200" cy="3930650"/>
            <wp:effectExtent l="0" t="0" r="0" b="0"/>
            <wp:docPr id="27" name="Picture 27" descr="https://support.cognex.com/docs/dmst_616SR1/web/EN/Industrial_Protocols_Manual/Content/Resources/Images/mostrecentGS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upport.cognex.com/docs/dmst_616SR1/web/EN/Industrial_Protocols_Manual/Content/Resources/Images/mostrecentGSD.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72200" cy="3930650"/>
                    </a:xfrm>
                    <a:prstGeom prst="rect">
                      <a:avLst/>
                    </a:prstGeom>
                    <a:noFill/>
                    <a:ln>
                      <a:noFill/>
                    </a:ln>
                  </pic:spPr>
                </pic:pic>
              </a:graphicData>
            </a:graphic>
          </wp:inline>
        </w:drawing>
      </w:r>
    </w:p>
    <w:p w:rsidR="00783AD1" w:rsidRDefault="00783AD1" w:rsidP="00783AD1">
      <w:pPr>
        <w:numPr>
          <w:ilvl w:val="0"/>
          <w:numId w:val="22"/>
        </w:numPr>
        <w:spacing w:before="100" w:beforeAutospacing="1" w:after="100" w:afterAutospacing="1" w:line="240" w:lineRule="auto"/>
      </w:pPr>
      <w:r>
        <w:t xml:space="preserve">Go to </w:t>
      </w:r>
      <w:r>
        <w:rPr>
          <w:b/>
          <w:bCs/>
        </w:rPr>
        <w:t>Device Configuration</w:t>
      </w:r>
      <w:r>
        <w:t xml:space="preserve"> and add your device in the </w:t>
      </w:r>
      <w:r>
        <w:rPr>
          <w:b/>
          <w:bCs/>
        </w:rPr>
        <w:t>Network View</w:t>
      </w:r>
      <w:r>
        <w:t xml:space="preserve"> tab.</w:t>
      </w:r>
    </w:p>
    <w:p w:rsidR="00783AD1" w:rsidRDefault="00783AD1" w:rsidP="00783AD1">
      <w:pPr>
        <w:numPr>
          <w:ilvl w:val="0"/>
          <w:numId w:val="23"/>
        </w:numPr>
        <w:spacing w:before="100" w:beforeAutospacing="1" w:after="100" w:afterAutospacing="1" w:line="240" w:lineRule="auto"/>
      </w:pPr>
      <w:r>
        <w:t xml:space="preserve">The </w:t>
      </w:r>
      <w:r>
        <w:rPr>
          <w:b/>
          <w:bCs/>
        </w:rPr>
        <w:t>Hardware catalog</w:t>
      </w:r>
      <w:r>
        <w:t xml:space="preserve"> is displayed on the right. Expand the “PROFINET IO” tree to the “</w:t>
      </w:r>
      <w:proofErr w:type="spellStart"/>
      <w:r>
        <w:t>Cognex</w:t>
      </w:r>
      <w:proofErr w:type="spellEnd"/>
      <w:r>
        <w:t xml:space="preserve"> ID Readers” node.</w:t>
      </w:r>
    </w:p>
    <w:p w:rsidR="00783AD1" w:rsidRDefault="00783AD1" w:rsidP="00783AD1">
      <w:pPr>
        <w:numPr>
          <w:ilvl w:val="0"/>
          <w:numId w:val="24"/>
        </w:numPr>
        <w:spacing w:before="100" w:beforeAutospacing="1" w:after="100" w:afterAutospacing="1" w:line="240" w:lineRule="auto"/>
      </w:pPr>
      <w:r>
        <w:lastRenderedPageBreak/>
        <w:t xml:space="preserve">Press and hold the left mouse button to drag the </w:t>
      </w:r>
      <w:proofErr w:type="spellStart"/>
      <w:r>
        <w:t>DataMan</w:t>
      </w:r>
      <w:proofErr w:type="spellEnd"/>
      <w:r>
        <w:t xml:space="preserve"> reader and drop it on the PROFINET IO network symbol in the left pane.</w:t>
      </w:r>
      <w:r>
        <w:rPr>
          <w:noProof/>
        </w:rPr>
        <w:lastRenderedPageBreak/>
        <w:drawing>
          <wp:inline distT="0" distB="0" distL="0" distR="0">
            <wp:extent cx="18275300" cy="9505950"/>
            <wp:effectExtent l="0" t="0" r="0" b="0"/>
            <wp:docPr id="26" name="Picture 26" descr="https://support.cognex.com/docs/dmst_616SR1/web/EN/Industrial_Protocols_Manual/Content/Resources/Images/profinet_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upport.cognex.com/docs/dmst_616SR1/web/EN/Industrial_Protocols_Manual/Content/Resources/Images/profinet_IO.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275300" cy="9505950"/>
                    </a:xfrm>
                    <a:prstGeom prst="rect">
                      <a:avLst/>
                    </a:prstGeom>
                    <a:noFill/>
                    <a:ln>
                      <a:noFill/>
                    </a:ln>
                  </pic:spPr>
                </pic:pic>
              </a:graphicData>
            </a:graphic>
          </wp:inline>
        </w:drawing>
      </w:r>
    </w:p>
    <w:p w:rsidR="00783AD1" w:rsidRDefault="00783AD1" w:rsidP="00783AD1">
      <w:pPr>
        <w:pStyle w:val="NormalWeb"/>
      </w:pPr>
      <w:r>
        <w:lastRenderedPageBreak/>
        <w:t xml:space="preserve">The HW </w:t>
      </w:r>
      <w:proofErr w:type="spellStart"/>
      <w:r>
        <w:t>Config</w:t>
      </w:r>
      <w:proofErr w:type="spellEnd"/>
      <w:r>
        <w:t xml:space="preserve"> tool automatically maps the </w:t>
      </w:r>
      <w:proofErr w:type="spellStart"/>
      <w:r>
        <w:t>DataMan</w:t>
      </w:r>
      <w:proofErr w:type="spellEnd"/>
      <w:r>
        <w:t xml:space="preserve"> I/O modules into the memory space.</w:t>
      </w:r>
    </w:p>
    <w:p w:rsidR="00783AD1" w:rsidRDefault="00783AD1" w:rsidP="00783AD1">
      <w:r>
        <w:rPr>
          <w:rStyle w:val="autonumber"/>
          <w:b/>
          <w:bCs/>
        </w:rPr>
        <w:t>Note</w:t>
      </w:r>
      <w:r>
        <w:rPr>
          <w:rStyle w:val="autonumber"/>
        </w:rPr>
        <w:t xml:space="preserve">: </w:t>
      </w:r>
      <w:r>
        <w:t>By default, the 64 byte User Data and 64 byte Result Data Modules are inserted. There are multiple sizes available for both of these modules. To optimize performance, use the module size that most closely matches the actual data requirements of your application. You can change the module by deleting the one in the table and inserting the appropriate sized module from the catalog.</w:t>
      </w:r>
    </w:p>
    <w:p w:rsidR="00783AD1" w:rsidRDefault="00783AD1" w:rsidP="00783AD1">
      <w:pPr>
        <w:numPr>
          <w:ilvl w:val="0"/>
          <w:numId w:val="25"/>
        </w:numPr>
        <w:spacing w:before="100" w:beforeAutospacing="1" w:after="100" w:afterAutospacing="1" w:line="240" w:lineRule="auto"/>
      </w:pPr>
      <w:r>
        <w:t xml:space="preserve">Right-click the </w:t>
      </w:r>
      <w:proofErr w:type="spellStart"/>
      <w:r>
        <w:t>DataMan</w:t>
      </w:r>
      <w:proofErr w:type="spellEnd"/>
      <w:r>
        <w:t xml:space="preserve"> icon and select </w:t>
      </w:r>
      <w:r>
        <w:rPr>
          <w:b/>
          <w:bCs/>
        </w:rPr>
        <w:t>Properties…</w:t>
      </w:r>
      <w:r>
        <w:t xml:space="preserve">. </w:t>
      </w:r>
    </w:p>
    <w:p w:rsidR="00783AD1" w:rsidRDefault="00783AD1" w:rsidP="00783AD1">
      <w:pPr>
        <w:pStyle w:val="NormalWeb"/>
        <w:ind w:left="720"/>
      </w:pPr>
      <w:r>
        <w:rPr>
          <w:noProof/>
        </w:rPr>
        <w:lastRenderedPageBreak/>
        <w:drawing>
          <wp:inline distT="0" distB="0" distL="0" distR="0">
            <wp:extent cx="18218150" cy="9302750"/>
            <wp:effectExtent l="0" t="0" r="0" b="0"/>
            <wp:docPr id="25" name="Picture 25" descr="https://support.cognex.com/docs/dmst_616SR1/web/EN/Industrial_Protocols_Manual/Content/Images/profinet_ethern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upport.cognex.com/docs/dmst_616SR1/web/EN/Industrial_Protocols_Manual/Content/Images/profinet_ethernet.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218150" cy="9302750"/>
                    </a:xfrm>
                    <a:prstGeom prst="rect">
                      <a:avLst/>
                    </a:prstGeom>
                    <a:noFill/>
                    <a:ln>
                      <a:noFill/>
                    </a:ln>
                  </pic:spPr>
                </pic:pic>
              </a:graphicData>
            </a:graphic>
          </wp:inline>
        </w:drawing>
      </w:r>
    </w:p>
    <w:p w:rsidR="00783AD1" w:rsidRDefault="00783AD1" w:rsidP="00783AD1">
      <w:pPr>
        <w:numPr>
          <w:ilvl w:val="0"/>
          <w:numId w:val="26"/>
        </w:numPr>
        <w:spacing w:before="100" w:beforeAutospacing="1" w:after="100" w:afterAutospacing="1" w:line="240" w:lineRule="auto"/>
      </w:pPr>
      <w:r>
        <w:lastRenderedPageBreak/>
        <w:t xml:space="preserve">Give the reader a name. This must match the name of your actual </w:t>
      </w:r>
      <w:proofErr w:type="spellStart"/>
      <w:r>
        <w:t>DataMan</w:t>
      </w:r>
      <w:proofErr w:type="spellEnd"/>
      <w:r>
        <w:t xml:space="preserve"> reader. The name must be unique and follow DNS naming conventions. For details, see the TIA Portal help documentation.</w:t>
      </w:r>
    </w:p>
    <w:p w:rsidR="00783AD1" w:rsidRDefault="00783AD1" w:rsidP="00783AD1">
      <w:pPr>
        <w:numPr>
          <w:ilvl w:val="0"/>
          <w:numId w:val="27"/>
        </w:numPr>
        <w:spacing w:before="100" w:beforeAutospacing="1" w:after="100" w:afterAutospacing="1" w:line="240" w:lineRule="auto"/>
      </w:pPr>
      <w:r>
        <w:t xml:space="preserve">If your </w:t>
      </w:r>
      <w:proofErr w:type="spellStart"/>
      <w:r>
        <w:t>DataMan</w:t>
      </w:r>
      <w:proofErr w:type="spellEnd"/>
      <w:r>
        <w:t xml:space="preserve"> reader is configured to use its own static IP, select the </w:t>
      </w:r>
      <w:r>
        <w:rPr>
          <w:b/>
          <w:bCs/>
        </w:rPr>
        <w:t>IP address is set directly at the device</w:t>
      </w:r>
      <w:r>
        <w:t xml:space="preserve"> radio button. As an alternative, if you wish the PLC to assign an IP address, select the Ethernet button and configure the appropriate address. </w:t>
      </w:r>
    </w:p>
    <w:p w:rsidR="00783AD1" w:rsidRDefault="00783AD1" w:rsidP="00783AD1">
      <w:pPr>
        <w:numPr>
          <w:ilvl w:val="0"/>
          <w:numId w:val="28"/>
        </w:numPr>
        <w:spacing w:before="100" w:beforeAutospacing="1" w:after="100" w:afterAutospacing="1" w:line="240" w:lineRule="auto"/>
      </w:pPr>
      <w:r>
        <w:t>Check the checkbox next to the device image and connect the selected device with the PLC by drawing a line with your mouse.</w:t>
      </w:r>
      <w:r>
        <w:rPr>
          <w:noProof/>
        </w:rPr>
        <w:drawing>
          <wp:inline distT="0" distB="0" distL="0" distR="0">
            <wp:extent cx="10858500" cy="5810250"/>
            <wp:effectExtent l="0" t="0" r="0" b="0"/>
            <wp:docPr id="24" name="Picture 24" descr="https://support.cognex.com/docs/dmst_616SR1/web/EN/Industrial_Protocols_Manual/Content/Resources/Images/drop_dev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upport.cognex.com/docs/dmst_616SR1/web/EN/Industrial_Protocols_Manual/Content/Resources/Images/drop_device.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858500" cy="5810250"/>
                    </a:xfrm>
                    <a:prstGeom prst="rect">
                      <a:avLst/>
                    </a:prstGeom>
                    <a:noFill/>
                    <a:ln>
                      <a:noFill/>
                    </a:ln>
                  </pic:spPr>
                </pic:pic>
              </a:graphicData>
            </a:graphic>
          </wp:inline>
        </w:drawing>
      </w:r>
    </w:p>
    <w:p w:rsidR="00783AD1" w:rsidRDefault="00783AD1" w:rsidP="00783AD1">
      <w:pPr>
        <w:numPr>
          <w:ilvl w:val="0"/>
          <w:numId w:val="29"/>
        </w:numPr>
        <w:spacing w:before="100" w:beforeAutospacing="1" w:after="100" w:afterAutospacing="1" w:line="240" w:lineRule="auto"/>
      </w:pPr>
      <w:r>
        <w:t xml:space="preserve">By default, the SIMATIC software maps the User Data and Result Data Modules to offset 256. This is outside of the default process image area size of 128. That is, data in these modules are inaccessible by some SFCs such as BLKMOV. As a solution, either </w:t>
      </w:r>
      <w:r>
        <w:lastRenderedPageBreak/>
        <w:t>remap the modules to lower offsets within the process image area or expand the process image area to include these modules.</w:t>
      </w:r>
    </w:p>
    <w:p w:rsidR="00783AD1" w:rsidRDefault="00783AD1" w:rsidP="00783AD1">
      <w:pPr>
        <w:pStyle w:val="NormalWeb"/>
      </w:pPr>
      <w:r>
        <w:t>If you choose to expand the process image area, make the size large enough for the module size plus the default 256 offset.</w:t>
      </w:r>
    </w:p>
    <w:p w:rsidR="00783AD1" w:rsidRDefault="00783AD1" w:rsidP="00783AD1">
      <w:pPr>
        <w:pStyle w:val="image"/>
      </w:pPr>
      <w:r>
        <w:rPr>
          <w:noProof/>
        </w:rPr>
        <w:drawing>
          <wp:inline distT="0" distB="0" distL="0" distR="0">
            <wp:extent cx="9626600" cy="5657850"/>
            <wp:effectExtent l="0" t="0" r="0" b="0"/>
            <wp:docPr id="23" name="Picture 23" descr="https://support.cognex.com/docs/dmst_616SR1/web/EN/Industrial_Protocols_Manual/Content/Resources/Images/propert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upport.cognex.com/docs/dmst_616SR1/web/EN/Industrial_Protocols_Manual/Content/Resources/Images/properties.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626600" cy="5657850"/>
                    </a:xfrm>
                    <a:prstGeom prst="rect">
                      <a:avLst/>
                    </a:prstGeom>
                    <a:noFill/>
                    <a:ln>
                      <a:noFill/>
                    </a:ln>
                  </pic:spPr>
                </pic:pic>
              </a:graphicData>
            </a:graphic>
          </wp:inline>
        </w:drawing>
      </w:r>
    </w:p>
    <w:p w:rsidR="00783AD1" w:rsidRDefault="00783AD1" w:rsidP="00783AD1">
      <w:r>
        <w:rPr>
          <w:rStyle w:val="autonumber"/>
          <w:b/>
          <w:bCs/>
        </w:rPr>
        <w:t>Note</w:t>
      </w:r>
      <w:r>
        <w:rPr>
          <w:rStyle w:val="autonumber"/>
        </w:rPr>
        <w:t xml:space="preserve">: </w:t>
      </w:r>
      <w:r>
        <w:t>Expanding the process image can have a performance impact on the PLC scan cycle time. If your scan time is critical, use the minimal acceptable module sizes and manually remap them down lower in the process image.</w:t>
      </w:r>
    </w:p>
    <w:p w:rsidR="00783AD1" w:rsidRDefault="00783AD1" w:rsidP="00783AD1">
      <w:pPr>
        <w:pStyle w:val="Heading4"/>
      </w:pPr>
      <w:r>
        <w:t>Symbol Table</w:t>
      </w:r>
    </w:p>
    <w:p w:rsidR="00783AD1" w:rsidRDefault="00783AD1" w:rsidP="00783AD1">
      <w:pPr>
        <w:pStyle w:val="NormalWeb"/>
      </w:pPr>
      <w:r>
        <w:t xml:space="preserve">It is recommended that you define symbols for the </w:t>
      </w:r>
      <w:proofErr w:type="spellStart"/>
      <w:r>
        <w:t>DataMan</w:t>
      </w:r>
      <w:proofErr w:type="spellEnd"/>
      <w:r>
        <w:t xml:space="preserve"> I/O module elements to make the code much easier to read and reduce mistakes. This sample table shows symbols defined for a </w:t>
      </w:r>
      <w:r>
        <w:lastRenderedPageBreak/>
        <w:t xml:space="preserve">typical instance of a </w:t>
      </w:r>
      <w:proofErr w:type="spellStart"/>
      <w:r>
        <w:t>DataMan</w:t>
      </w:r>
      <w:proofErr w:type="spellEnd"/>
      <w:r>
        <w:t xml:space="preserve"> reader. It is possible that </w:t>
      </w:r>
      <w:proofErr w:type="spellStart"/>
      <w:r>
        <w:t>DataMan</w:t>
      </w:r>
      <w:proofErr w:type="spellEnd"/>
      <w:r>
        <w:t xml:space="preserve"> I/O modules are at different addresses in your project. Make sure to adjust your symbol definitions based on the specific offsets of the I/O modules. For more information, see the </w:t>
      </w:r>
      <w:r>
        <w:rPr>
          <w:i/>
          <w:iCs/>
        </w:rPr>
        <w:t xml:space="preserve">TIA Portal Integration Guide for In-Sight and </w:t>
      </w:r>
      <w:proofErr w:type="spellStart"/>
      <w:r>
        <w:rPr>
          <w:i/>
          <w:iCs/>
        </w:rPr>
        <w:t>DataMan</w:t>
      </w:r>
      <w:proofErr w:type="spellEnd"/>
      <w:r>
        <w:t xml:space="preserve"> at https://support.cognex.com/en/downloads/detail/in-sight/3687/1033.</w:t>
      </w:r>
    </w:p>
    <w:p w:rsidR="00783AD1" w:rsidRDefault="00783AD1" w:rsidP="00783AD1">
      <w:pPr>
        <w:pStyle w:val="image"/>
      </w:pPr>
      <w:r>
        <w:rPr>
          <w:noProof/>
        </w:rPr>
        <w:lastRenderedPageBreak/>
        <w:drawing>
          <wp:inline distT="0" distB="0" distL="0" distR="0">
            <wp:extent cx="11576050" cy="8553450"/>
            <wp:effectExtent l="0" t="0" r="6350" b="0"/>
            <wp:docPr id="22" name="Picture 22" descr="https://support.cognex.com/docs/dmst_616SR1/web/EN/Industrial_Protocols_Manual/Content/Resources/Images/symboledi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upport.cognex.com/docs/dmst_616SR1/web/EN/Industrial_Protocols_Manual/Content/Resources/Images/symboleditor.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576050" cy="8553450"/>
                    </a:xfrm>
                    <a:prstGeom prst="rect">
                      <a:avLst/>
                    </a:prstGeom>
                    <a:noFill/>
                    <a:ln>
                      <a:noFill/>
                    </a:ln>
                  </pic:spPr>
                </pic:pic>
              </a:graphicData>
            </a:graphic>
          </wp:inline>
        </w:drawing>
      </w:r>
    </w:p>
    <w:p w:rsidR="00783AD1" w:rsidRDefault="00783AD1" w:rsidP="00783AD1">
      <w:pPr>
        <w:pStyle w:val="Heading4"/>
      </w:pPr>
      <w:r>
        <w:lastRenderedPageBreak/>
        <w:t>Trigger and Get Results</w:t>
      </w:r>
    </w:p>
    <w:p w:rsidR="00783AD1" w:rsidRDefault="00783AD1" w:rsidP="00783AD1">
      <w:pPr>
        <w:pStyle w:val="NormalWeb"/>
      </w:pPr>
      <w:r>
        <w:t>Open the sample program “</w:t>
      </w:r>
      <w:proofErr w:type="spellStart"/>
      <w:r>
        <w:t>Cognex-Dataman</w:t>
      </w:r>
      <w:proofErr w:type="spellEnd"/>
      <w:r>
        <w:t>” for the complete example program.</w:t>
      </w:r>
    </w:p>
    <w:p w:rsidR="00783AD1" w:rsidRDefault="00783AD1" w:rsidP="00783AD1">
      <w:r>
        <w:rPr>
          <w:rStyle w:val="autonumber"/>
          <w:b/>
          <w:bCs/>
        </w:rPr>
        <w:t>Note</w:t>
      </w:r>
      <w:r>
        <w:rPr>
          <w:rStyle w:val="autonumber"/>
        </w:rPr>
        <w:t xml:space="preserve">: </w:t>
      </w:r>
      <w:r>
        <w:t xml:space="preserve">This sample can be used with any PROFINET enabled </w:t>
      </w:r>
      <w:proofErr w:type="spellStart"/>
      <w:r>
        <w:t>DataMan</w:t>
      </w:r>
      <w:proofErr w:type="spellEnd"/>
      <w:r>
        <w:t xml:space="preserve"> reader.</w:t>
      </w:r>
    </w:p>
    <w:p w:rsidR="00783AD1" w:rsidRDefault="00783AD1" w:rsidP="00783AD1">
      <w:pPr>
        <w:pStyle w:val="NormalWeb"/>
      </w:pPr>
      <w:r>
        <w:t>Perform the following steps to install the program:</w:t>
      </w:r>
    </w:p>
    <w:p w:rsidR="00783AD1" w:rsidRDefault="00783AD1" w:rsidP="00783AD1">
      <w:pPr>
        <w:numPr>
          <w:ilvl w:val="0"/>
          <w:numId w:val="30"/>
        </w:numPr>
        <w:spacing w:before="100" w:beforeAutospacing="1" w:after="100" w:afterAutospacing="1" w:line="240" w:lineRule="auto"/>
      </w:pPr>
      <w:r>
        <w:t>Start TIA Portal.</w:t>
      </w:r>
    </w:p>
    <w:p w:rsidR="00783AD1" w:rsidRDefault="00783AD1" w:rsidP="00783AD1">
      <w:pPr>
        <w:numPr>
          <w:ilvl w:val="0"/>
          <w:numId w:val="31"/>
        </w:numPr>
        <w:spacing w:before="100" w:beforeAutospacing="1" w:after="100" w:afterAutospacing="1" w:line="240" w:lineRule="auto"/>
      </w:pPr>
      <w:r>
        <w:t>Browse to find the sample file on your PC.</w:t>
      </w:r>
    </w:p>
    <w:p w:rsidR="00783AD1" w:rsidRDefault="00783AD1" w:rsidP="00783AD1">
      <w:pPr>
        <w:pStyle w:val="image"/>
      </w:pPr>
      <w:r>
        <w:rPr>
          <w:noProof/>
        </w:rPr>
        <w:drawing>
          <wp:inline distT="0" distB="0" distL="0" distR="0">
            <wp:extent cx="6654800" cy="2857500"/>
            <wp:effectExtent l="0" t="0" r="0" b="0"/>
            <wp:docPr id="21" name="Picture 21" descr="https://support.cognex.com/docs/dmst_616SR1/web/EN/Industrial_Protocols_Manual/Content/Resources/Images/retriev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upport.cognex.com/docs/dmst_616SR1/web/EN/Industrial_Protocols_Manual/Content/Resources/Images/retrieving.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54800" cy="2857500"/>
                    </a:xfrm>
                    <a:prstGeom prst="rect">
                      <a:avLst/>
                    </a:prstGeom>
                    <a:noFill/>
                    <a:ln>
                      <a:noFill/>
                    </a:ln>
                  </pic:spPr>
                </pic:pic>
              </a:graphicData>
            </a:graphic>
          </wp:inline>
        </w:drawing>
      </w:r>
    </w:p>
    <w:p w:rsidR="00783AD1" w:rsidRDefault="00783AD1" w:rsidP="00783AD1">
      <w:pPr>
        <w:numPr>
          <w:ilvl w:val="0"/>
          <w:numId w:val="32"/>
        </w:numPr>
        <w:spacing w:before="100" w:beforeAutospacing="1" w:after="100" w:afterAutospacing="1" w:line="240" w:lineRule="auto"/>
      </w:pPr>
      <w:r>
        <w:t>Save the project on your PC. TIA Portal extracts the sample archive and makes it available.</w:t>
      </w:r>
    </w:p>
    <w:p w:rsidR="00783AD1" w:rsidRDefault="00783AD1" w:rsidP="00783AD1">
      <w:pPr>
        <w:pStyle w:val="NormalWeb"/>
      </w:pPr>
      <w:r>
        <w:t>Reduced to the basics, the process of reading and retrieving results consists of the following:</w:t>
      </w:r>
    </w:p>
    <w:p w:rsidR="00783AD1" w:rsidRDefault="00783AD1" w:rsidP="00783AD1">
      <w:pPr>
        <w:numPr>
          <w:ilvl w:val="0"/>
          <w:numId w:val="33"/>
        </w:numPr>
        <w:spacing w:before="100" w:beforeAutospacing="1" w:after="100" w:afterAutospacing="1" w:line="240" w:lineRule="auto"/>
      </w:pPr>
      <w:r>
        <w:t>Define an area in your application to save read results. There are many options regarding how and where result data can be stored. In this example, a temporary tag is defined containing the fields of the Result Data module that are relevant for our application.</w:t>
      </w:r>
    </w:p>
    <w:p w:rsidR="00783AD1" w:rsidRDefault="00783AD1" w:rsidP="00783AD1">
      <w:pPr>
        <w:pStyle w:val="image"/>
      </w:pPr>
      <w:r>
        <w:rPr>
          <w:noProof/>
        </w:rPr>
        <w:drawing>
          <wp:inline distT="0" distB="0" distL="0" distR="0">
            <wp:extent cx="4933950" cy="927100"/>
            <wp:effectExtent l="0" t="0" r="0" b="6350"/>
            <wp:docPr id="20" name="Picture 20" descr="https://support.cognex.com/docs/dmst_616SR1/web/EN/Industrial_Protocols_Manual/Content/Images/resultdataT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upport.cognex.com/docs/dmst_616SR1/web/EN/Industrial_Protocols_Manual/Content/Images/resultdataTIA.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33950" cy="927100"/>
                    </a:xfrm>
                    <a:prstGeom prst="rect">
                      <a:avLst/>
                    </a:prstGeom>
                    <a:noFill/>
                    <a:ln>
                      <a:noFill/>
                    </a:ln>
                  </pic:spPr>
                </pic:pic>
              </a:graphicData>
            </a:graphic>
          </wp:inline>
        </w:drawing>
      </w:r>
    </w:p>
    <w:p w:rsidR="00783AD1" w:rsidRDefault="00783AD1" w:rsidP="00783AD1">
      <w:pPr>
        <w:numPr>
          <w:ilvl w:val="0"/>
          <w:numId w:val="34"/>
        </w:numPr>
        <w:spacing w:before="100" w:beforeAutospacing="1" w:after="100" w:afterAutospacing="1" w:line="240" w:lineRule="auto"/>
      </w:pPr>
      <w:r>
        <w:t>Enable the reader.</w:t>
      </w:r>
    </w:p>
    <w:p w:rsidR="00783AD1" w:rsidRDefault="00783AD1" w:rsidP="00783AD1">
      <w:pPr>
        <w:pStyle w:val="image"/>
      </w:pPr>
      <w:r>
        <w:rPr>
          <w:noProof/>
        </w:rPr>
        <w:lastRenderedPageBreak/>
        <w:drawing>
          <wp:inline distT="0" distB="0" distL="0" distR="0">
            <wp:extent cx="6762750" cy="1200150"/>
            <wp:effectExtent l="0" t="0" r="0" b="0"/>
            <wp:docPr id="19" name="Picture 19" descr="https://support.cognex.com/docs/dmst_616SR1/web/EN/Industrial_Protocols_Manual/Content/Resources/Images/enablerea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upport.cognex.com/docs/dmst_616SR1/web/EN/Industrial_Protocols_Manual/Content/Resources/Images/enablereader.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62750" cy="1200150"/>
                    </a:xfrm>
                    <a:prstGeom prst="rect">
                      <a:avLst/>
                    </a:prstGeom>
                    <a:noFill/>
                    <a:ln>
                      <a:noFill/>
                    </a:ln>
                  </pic:spPr>
                </pic:pic>
              </a:graphicData>
            </a:graphic>
          </wp:inline>
        </w:drawing>
      </w:r>
    </w:p>
    <w:p w:rsidR="00783AD1" w:rsidRDefault="00783AD1" w:rsidP="00783AD1">
      <w:pPr>
        <w:numPr>
          <w:ilvl w:val="0"/>
          <w:numId w:val="35"/>
        </w:numPr>
        <w:spacing w:before="100" w:beforeAutospacing="1" w:after="100" w:afterAutospacing="1" w:line="240" w:lineRule="auto"/>
      </w:pPr>
      <w:r>
        <w:t>Set the trigger signal and set coil to indicate a read is pending.</w:t>
      </w:r>
    </w:p>
    <w:p w:rsidR="00783AD1" w:rsidRDefault="00783AD1" w:rsidP="00783AD1">
      <w:pPr>
        <w:pStyle w:val="image"/>
      </w:pPr>
      <w:r>
        <w:rPr>
          <w:noProof/>
        </w:rPr>
        <w:drawing>
          <wp:inline distT="0" distB="0" distL="0" distR="0">
            <wp:extent cx="8020050" cy="1924050"/>
            <wp:effectExtent l="0" t="0" r="0" b="0"/>
            <wp:docPr id="18" name="Picture 18" descr="https://support.cognex.com/docs/dmst_616SR1/web/EN/Industrial_Protocols_Manual/Content/Resources/Images/triggersignals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upport.cognex.com/docs/dmst_616SR1/web/EN/Industrial_Protocols_Manual/Content/Resources/Images/triggersignalset.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020050" cy="1924050"/>
                    </a:xfrm>
                    <a:prstGeom prst="rect">
                      <a:avLst/>
                    </a:prstGeom>
                    <a:noFill/>
                    <a:ln>
                      <a:noFill/>
                    </a:ln>
                  </pic:spPr>
                </pic:pic>
              </a:graphicData>
            </a:graphic>
          </wp:inline>
        </w:drawing>
      </w:r>
    </w:p>
    <w:p w:rsidR="00783AD1" w:rsidRDefault="00783AD1" w:rsidP="00783AD1">
      <w:pPr>
        <w:numPr>
          <w:ilvl w:val="0"/>
          <w:numId w:val="36"/>
        </w:numPr>
        <w:spacing w:before="100" w:beforeAutospacing="1" w:after="100" w:afterAutospacing="1" w:line="240" w:lineRule="auto"/>
      </w:pPr>
      <w:r>
        <w:t>As soon as the results are available, clear the trigger signal and save a copy of the result data and set the results acknowledge signal.</w:t>
      </w:r>
    </w:p>
    <w:p w:rsidR="00783AD1" w:rsidRDefault="00783AD1" w:rsidP="00783AD1">
      <w:pPr>
        <w:pStyle w:val="image"/>
      </w:pPr>
      <w:r>
        <w:rPr>
          <w:noProof/>
        </w:rPr>
        <w:lastRenderedPageBreak/>
        <w:drawing>
          <wp:inline distT="0" distB="0" distL="0" distR="0">
            <wp:extent cx="10471150" cy="6470650"/>
            <wp:effectExtent l="0" t="0" r="6350" b="6350"/>
            <wp:docPr id="17" name="Picture 17" descr="https://support.cognex.com/docs/dmst_616SR1/web/EN/Industrial_Protocols_Manual/Content/Resources/Images/clearacknowledgesig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upport.cognex.com/docs/dmst_616SR1/web/EN/Industrial_Protocols_Manual/Content/Resources/Images/clearacknowledgesignal.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471150" cy="6470650"/>
                    </a:xfrm>
                    <a:prstGeom prst="rect">
                      <a:avLst/>
                    </a:prstGeom>
                    <a:noFill/>
                    <a:ln>
                      <a:noFill/>
                    </a:ln>
                  </pic:spPr>
                </pic:pic>
              </a:graphicData>
            </a:graphic>
          </wp:inline>
        </w:drawing>
      </w:r>
    </w:p>
    <w:p w:rsidR="00783AD1" w:rsidRDefault="00783AD1" w:rsidP="00783AD1">
      <w:pPr>
        <w:numPr>
          <w:ilvl w:val="0"/>
          <w:numId w:val="37"/>
        </w:numPr>
        <w:spacing w:before="100" w:beforeAutospacing="1" w:after="100" w:afterAutospacing="1" w:line="240" w:lineRule="auto"/>
      </w:pPr>
      <w:r>
        <w:t>When the reader sees the result acknowledge signal, clear result acknowledge, clear the read pending coil, and signal that the read process is complete.</w:t>
      </w:r>
    </w:p>
    <w:p w:rsidR="00783AD1" w:rsidRDefault="00783AD1" w:rsidP="00783AD1">
      <w:pPr>
        <w:spacing w:after="0"/>
      </w:pPr>
      <w:r>
        <w:rPr>
          <w:rStyle w:val="autonumber"/>
          <w:b/>
          <w:bCs/>
        </w:rPr>
        <w:lastRenderedPageBreak/>
        <w:t>Note</w:t>
      </w:r>
      <w:r>
        <w:rPr>
          <w:rStyle w:val="autonumber"/>
        </w:rPr>
        <w:t xml:space="preserve">: </w:t>
      </w:r>
      <w:r>
        <w:t xml:space="preserve">The reader clears “Results Available” as soon as it sees the PLC’s “Results </w:t>
      </w:r>
      <w:proofErr w:type="spellStart"/>
      <w:r>
        <w:t>Ack</w:t>
      </w:r>
      <w:proofErr w:type="spellEnd"/>
      <w:r>
        <w:t>” signal.</w:t>
      </w:r>
      <w:r>
        <w:br/>
      </w:r>
      <w:r>
        <w:rPr>
          <w:noProof/>
        </w:rPr>
        <w:drawing>
          <wp:inline distT="0" distB="0" distL="0" distR="0">
            <wp:extent cx="5727700" cy="2540000"/>
            <wp:effectExtent l="0" t="0" r="6350" b="0"/>
            <wp:docPr id="16" name="Picture 16" descr="https://support.cognex.com/docs/dmst_616SR1/web/EN/Industrial_Protocols_Manual/Content/Resources/Images/results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upport.cognex.com/docs/dmst_616SR1/web/EN/Industrial_Protocols_Manual/Content/Resources/Images/resultsack.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27700" cy="2540000"/>
                    </a:xfrm>
                    <a:prstGeom prst="rect">
                      <a:avLst/>
                    </a:prstGeom>
                    <a:noFill/>
                    <a:ln>
                      <a:noFill/>
                    </a:ln>
                  </pic:spPr>
                </pic:pic>
              </a:graphicData>
            </a:graphic>
          </wp:inline>
        </w:drawing>
      </w:r>
    </w:p>
    <w:p w:rsidR="00783AD1" w:rsidRDefault="00783AD1" w:rsidP="00783AD1">
      <w:pPr>
        <w:pStyle w:val="NormalWeb"/>
      </w:pPr>
      <w:r>
        <w:t> </w:t>
      </w:r>
    </w:p>
    <w:p w:rsidR="00783AD1" w:rsidRDefault="00783AD1" w:rsidP="00783AD1">
      <w:pPr>
        <w:pStyle w:val="Heading4"/>
      </w:pPr>
      <w:bookmarkStart w:id="4" w:name="Using"/>
      <w:bookmarkEnd w:id="4"/>
      <w:r>
        <w:t xml:space="preserve">Using </w:t>
      </w:r>
      <w:proofErr w:type="spellStart"/>
      <w:r>
        <w:t>SoftEvents</w:t>
      </w:r>
      <w:proofErr w:type="spellEnd"/>
    </w:p>
    <w:p w:rsidR="00783AD1" w:rsidRDefault="00783AD1" w:rsidP="00783AD1">
      <w:pPr>
        <w:pStyle w:val="NormalWeb"/>
      </w:pPr>
      <w:proofErr w:type="spellStart"/>
      <w:r>
        <w:t>SoftEvents</w:t>
      </w:r>
      <w:proofErr w:type="spellEnd"/>
      <w:r>
        <w:t xml:space="preserve"> are a means of invoking an activity by manipulating a single control bit. The activity for each bit is predefined. For more details, see section </w:t>
      </w:r>
      <w:hyperlink r:id="rId33" w:anchor="SoftEvents" w:history="1">
        <w:proofErr w:type="spellStart"/>
        <w:r>
          <w:rPr>
            <w:rStyle w:val="Hyperlink"/>
          </w:rPr>
          <w:t>SoftEvents</w:t>
        </w:r>
        <w:proofErr w:type="spellEnd"/>
      </w:hyperlink>
      <w:r>
        <w:t xml:space="preserve">. With the exception of “Execute DMCC” and “Set Match String” all </w:t>
      </w:r>
      <w:proofErr w:type="spellStart"/>
      <w:r>
        <w:t>SoftEvents</w:t>
      </w:r>
      <w:proofErr w:type="spellEnd"/>
      <w:r>
        <w:t xml:space="preserve"> may be invoked in the same way. “Execute DMCC” and “Set Match String” require the added step of loading the User Data module with application data before invoking the event.</w:t>
      </w:r>
    </w:p>
    <w:p w:rsidR="00783AD1" w:rsidRDefault="00783AD1" w:rsidP="00783AD1">
      <w:pPr>
        <w:pStyle w:val="NormalWeb"/>
      </w:pPr>
      <w:r>
        <w:t xml:space="preserve">Reduced to the basics, the process of invoking a </w:t>
      </w:r>
      <w:proofErr w:type="spellStart"/>
      <w:r>
        <w:t>SoftEvent</w:t>
      </w:r>
      <w:proofErr w:type="spellEnd"/>
      <w:r>
        <w:t xml:space="preserve"> consists of the following:</w:t>
      </w:r>
    </w:p>
    <w:p w:rsidR="00783AD1" w:rsidRDefault="00783AD1" w:rsidP="00783AD1">
      <w:pPr>
        <w:pStyle w:val="image"/>
      </w:pPr>
      <w:r>
        <w:rPr>
          <w:noProof/>
        </w:rPr>
        <w:drawing>
          <wp:inline distT="0" distB="0" distL="0" distR="0">
            <wp:extent cx="6375400" cy="1530350"/>
            <wp:effectExtent l="0" t="0" r="6350" b="0"/>
            <wp:docPr id="15" name="Picture 15" descr="https://support.cognex.com/docs/dmst_616SR1/web/EN/Industrial_Protocols_Manual/Content/Resources/Images/softevents_profinet_t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support.cognex.com/docs/dmst_616SR1/web/EN/Industrial_Protocols_Manual/Content/Resources/Images/softevents_profinet_top.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75400" cy="1530350"/>
                    </a:xfrm>
                    <a:prstGeom prst="rect">
                      <a:avLst/>
                    </a:prstGeom>
                    <a:noFill/>
                    <a:ln>
                      <a:noFill/>
                    </a:ln>
                  </pic:spPr>
                </pic:pic>
              </a:graphicData>
            </a:graphic>
          </wp:inline>
        </w:drawing>
      </w:r>
    </w:p>
    <w:p w:rsidR="00783AD1" w:rsidRDefault="00783AD1" w:rsidP="00783AD1">
      <w:pPr>
        <w:pStyle w:val="image"/>
      </w:pPr>
      <w:r>
        <w:rPr>
          <w:noProof/>
        </w:rPr>
        <w:lastRenderedPageBreak/>
        <w:drawing>
          <wp:inline distT="0" distB="0" distL="0" distR="0">
            <wp:extent cx="5753100" cy="2019300"/>
            <wp:effectExtent l="0" t="0" r="0" b="0"/>
            <wp:docPr id="14" name="Picture 14" descr="https://support.cognex.com/docs/dmst_616SR1/web/EN/Industrial_Protocols_Manual/Content/Resources/Images/softevents_profin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upport.cognex.com/docs/dmst_616SR1/web/EN/Industrial_Protocols_Manual/Content/Resources/Images/softevents_profinet.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3100" cy="2019300"/>
                    </a:xfrm>
                    <a:prstGeom prst="rect">
                      <a:avLst/>
                    </a:prstGeom>
                    <a:noFill/>
                    <a:ln>
                      <a:noFill/>
                    </a:ln>
                  </pic:spPr>
                </pic:pic>
              </a:graphicData>
            </a:graphic>
          </wp:inline>
        </w:drawing>
      </w:r>
    </w:p>
    <w:p w:rsidR="00783AD1" w:rsidRDefault="00783AD1" w:rsidP="00783AD1">
      <w:pPr>
        <w:pStyle w:val="Heading4"/>
      </w:pPr>
      <w:r>
        <w:t>Executing DMCC Commands</w:t>
      </w:r>
    </w:p>
    <w:p w:rsidR="00783AD1" w:rsidRDefault="00783AD1" w:rsidP="00783AD1">
      <w:pPr>
        <w:pStyle w:val="NormalWeb"/>
      </w:pPr>
      <w:r>
        <w:t>Refer to sample program “</w:t>
      </w:r>
      <w:proofErr w:type="spellStart"/>
      <w:r>
        <w:t>Cognex-Dataman</w:t>
      </w:r>
      <w:proofErr w:type="spellEnd"/>
      <w:r>
        <w:t xml:space="preserve">” for the complete example program. For information on how to install it, see section </w:t>
      </w:r>
      <w:hyperlink r:id="rId36" w:anchor="Using" w:history="1">
        <w:r>
          <w:rPr>
            <w:rStyle w:val="Hyperlink"/>
          </w:rPr>
          <w:t xml:space="preserve">Using </w:t>
        </w:r>
        <w:proofErr w:type="spellStart"/>
        <w:r>
          <w:rPr>
            <w:rStyle w:val="Hyperlink"/>
          </w:rPr>
          <w:t>SoftEvents</w:t>
        </w:r>
        <w:proofErr w:type="spellEnd"/>
      </w:hyperlink>
      <w:r>
        <w:t>.</w:t>
      </w:r>
    </w:p>
    <w:p w:rsidR="00783AD1" w:rsidRDefault="00783AD1" w:rsidP="00783AD1">
      <w:r>
        <w:rPr>
          <w:rStyle w:val="autonumber"/>
          <w:b/>
          <w:bCs/>
        </w:rPr>
        <w:t>Note</w:t>
      </w:r>
      <w:r>
        <w:rPr>
          <w:rStyle w:val="autonumber"/>
        </w:rPr>
        <w:t xml:space="preserve">: </w:t>
      </w:r>
      <w:r>
        <w:t xml:space="preserve">This sample can be used with any PROFINET enabled </w:t>
      </w:r>
      <w:proofErr w:type="spellStart"/>
      <w:r>
        <w:t>DataMan</w:t>
      </w:r>
      <w:proofErr w:type="spellEnd"/>
      <w:r>
        <w:t xml:space="preserve"> reader.</w:t>
      </w:r>
    </w:p>
    <w:p w:rsidR="00783AD1" w:rsidRDefault="00783AD1" w:rsidP="00783AD1">
      <w:pPr>
        <w:pStyle w:val="NormalWeb"/>
      </w:pPr>
      <w:r>
        <w:t xml:space="preserve">“Execute DMCC” is a </w:t>
      </w:r>
      <w:proofErr w:type="spellStart"/>
      <w:r>
        <w:t>SoftEvent</w:t>
      </w:r>
      <w:proofErr w:type="spellEnd"/>
      <w:r>
        <w:t xml:space="preserve"> which requires the added step of loading the User Data module with the desired DMCC command string before invoking the event. Note that the </w:t>
      </w:r>
      <w:proofErr w:type="spellStart"/>
      <w:r>
        <w:t>SoftEvent</w:t>
      </w:r>
      <w:proofErr w:type="spellEnd"/>
      <w:r>
        <w:t xml:space="preserve"> mechanism does not provide a means of returning DMCC response data (other than a failure indication). So this mechanism cannot be used for DMCC “||&gt;GET…” commands.</w:t>
      </w:r>
    </w:p>
    <w:p w:rsidR="00783AD1" w:rsidRDefault="00783AD1" w:rsidP="00783AD1">
      <w:pPr>
        <w:pStyle w:val="NormalWeb"/>
      </w:pPr>
      <w:r>
        <w:t xml:space="preserve">The process of executing a DMCC command is the same for all other </w:t>
      </w:r>
      <w:proofErr w:type="spellStart"/>
      <w:r>
        <w:t>SoftEvents</w:t>
      </w:r>
      <w:proofErr w:type="spellEnd"/>
      <w:r>
        <w:t xml:space="preserve"> (see example above) except the step of invoking the </w:t>
      </w:r>
      <w:proofErr w:type="spellStart"/>
      <w:r>
        <w:t>SoftEvent</w:t>
      </w:r>
      <w:proofErr w:type="spellEnd"/>
      <w:r>
        <w:t xml:space="preserve"> also includes copying the command string to the User Data Module. In this example the command string is exists in a Data Block. This example can be expanded to utilize a Data Block with an array of command strings that the copy function can reference by an index value. This allows the user to pre-define all DMCC commands that are required by the application and invoke them by index.</w:t>
      </w:r>
    </w:p>
    <w:p w:rsidR="00783AD1" w:rsidRDefault="00783AD1" w:rsidP="00783AD1">
      <w:pPr>
        <w:pStyle w:val="image"/>
      </w:pPr>
      <w:r>
        <w:rPr>
          <w:noProof/>
        </w:rPr>
        <w:lastRenderedPageBreak/>
        <w:drawing>
          <wp:inline distT="0" distB="0" distL="0" distR="0">
            <wp:extent cx="13487400" cy="3365500"/>
            <wp:effectExtent l="0" t="0" r="0" b="6350"/>
            <wp:docPr id="13" name="Picture 13" descr="https://support.cognex.com/docs/dmst_616SR1/web/EN/Industrial_Protocols_Manual/Content/Resources/Images/profinetdmc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support.cognex.com/docs/dmst_616SR1/web/EN/Industrial_Protocols_Manual/Content/Resources/Images/profinetdmcc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487400" cy="3365500"/>
                    </a:xfrm>
                    <a:prstGeom prst="rect">
                      <a:avLst/>
                    </a:prstGeom>
                    <a:noFill/>
                    <a:ln>
                      <a:noFill/>
                    </a:ln>
                  </pic:spPr>
                </pic:pic>
              </a:graphicData>
            </a:graphic>
          </wp:inline>
        </w:drawing>
      </w:r>
    </w:p>
    <w:p w:rsidR="00783AD1" w:rsidRDefault="00783AD1" w:rsidP="00783AD1">
      <w:pPr>
        <w:pStyle w:val="image"/>
      </w:pPr>
      <w:r>
        <w:rPr>
          <w:noProof/>
        </w:rPr>
        <w:drawing>
          <wp:inline distT="0" distB="0" distL="0" distR="0">
            <wp:extent cx="6489700" cy="2406650"/>
            <wp:effectExtent l="0" t="0" r="6350" b="0"/>
            <wp:docPr id="12" name="Picture 12" descr="https://support.cognex.com/docs/dmst_616SR1/web/EN/Industrial_Protocols_Manual/Content/Resources/Images/profinetdmc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upport.cognex.com/docs/dmst_616SR1/web/EN/Industrial_Protocols_Manual/Content/Resources/Images/profinetdmcc2.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489700" cy="2406650"/>
                    </a:xfrm>
                    <a:prstGeom prst="rect">
                      <a:avLst/>
                    </a:prstGeom>
                    <a:noFill/>
                    <a:ln>
                      <a:noFill/>
                    </a:ln>
                  </pic:spPr>
                </pic:pic>
              </a:graphicData>
            </a:graphic>
          </wp:inline>
        </w:drawing>
      </w:r>
    </w:p>
    <w:p w:rsidR="004F2D47" w:rsidRDefault="004F2D47">
      <w:r>
        <w:br w:type="page"/>
      </w:r>
    </w:p>
    <w:p w:rsidR="004F2D47" w:rsidRDefault="004F2D47" w:rsidP="004F2D47">
      <w:pPr>
        <w:pStyle w:val="Heading1"/>
      </w:pPr>
      <w:r>
        <w:lastRenderedPageBreak/>
        <w:t>Setting Up Fanuc Ethernet I/O with Studio 5000</w:t>
      </w:r>
    </w:p>
    <w:p w:rsidR="004F2D47" w:rsidRDefault="004F2D47" w:rsidP="004F2D47">
      <w:r>
        <w:t>By</w:t>
      </w:r>
    </w:p>
    <w:p w:rsidR="004F2D47" w:rsidRDefault="004F2D47" w:rsidP="004F2D47">
      <w:hyperlink r:id="rId39" w:history="1">
        <w:r>
          <w:rPr>
            <w:rStyle w:val="Hyperlink"/>
          </w:rPr>
          <w:t xml:space="preserve">Dan </w:t>
        </w:r>
        <w:proofErr w:type="spellStart"/>
        <w:r>
          <w:rPr>
            <w:rStyle w:val="Hyperlink"/>
          </w:rPr>
          <w:t>Staifer</w:t>
        </w:r>
        <w:proofErr w:type="spellEnd"/>
      </w:hyperlink>
    </w:p>
    <w:p w:rsidR="004F2D47" w:rsidRDefault="004F2D47" w:rsidP="004F2D47">
      <w:r>
        <w:t xml:space="preserve">- </w:t>
      </w:r>
    </w:p>
    <w:p w:rsidR="004F2D47" w:rsidRDefault="004F2D47" w:rsidP="004F2D47">
      <w:r>
        <w:rPr>
          <w:rStyle w:val="td-post-date"/>
        </w:rPr>
        <w:t>October 27, 2020</w:t>
      </w:r>
      <w:r>
        <w:t xml:space="preserve"> </w:t>
      </w:r>
    </w:p>
    <w:p w:rsidR="004F2D47" w:rsidRDefault="004F2D47" w:rsidP="004F2D47">
      <w:r>
        <w:rPr>
          <w:noProof/>
          <w:color w:val="0000FF"/>
        </w:rPr>
        <w:drawing>
          <wp:inline distT="0" distB="0" distL="0" distR="0">
            <wp:extent cx="6032500" cy="701453"/>
            <wp:effectExtent l="0" t="0" r="0" b="3810"/>
            <wp:docPr id="42" name="Picture 42" descr="https://theautomationblog.com/wp-content/uploads/2023/06/2023-860x100-Learn-All-A.jpg">
              <a:hlinkClick xmlns:a="http://schemas.openxmlformats.org/drawingml/2006/main" r:id="rId4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heautomationblog.com/wp-content/uploads/2023/06/2023-860x100-Learn-All-A.jpg">
                      <a:hlinkClick r:id="rId40" tgtFrame="&quot;_blank&quo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12337" cy="722364"/>
                    </a:xfrm>
                    <a:prstGeom prst="rect">
                      <a:avLst/>
                    </a:prstGeom>
                    <a:noFill/>
                    <a:ln>
                      <a:noFill/>
                    </a:ln>
                  </pic:spPr>
                </pic:pic>
              </a:graphicData>
            </a:graphic>
          </wp:inline>
        </w:drawing>
      </w:r>
    </w:p>
    <w:p w:rsidR="004F2D47" w:rsidRDefault="004F2D47" w:rsidP="004F2D47">
      <w:pPr>
        <w:pStyle w:val="Heading3"/>
      </w:pPr>
      <w:r>
        <w:t>In today’s manufacturing environment, Ethernet is being is being used in place of discrete I/O.</w:t>
      </w:r>
    </w:p>
    <w:p w:rsidR="004F2D47" w:rsidRDefault="004F2D47" w:rsidP="004F2D47">
      <w:pPr>
        <w:pStyle w:val="Heading3"/>
      </w:pPr>
      <w:r>
        <w:t>Fanuc has made this easier by having the ability to set up I/O via Ethernet that can be easily integrated with Rockwell’s RS Logix platform.</w:t>
      </w:r>
    </w:p>
    <w:p w:rsidR="004F2D47" w:rsidRDefault="004F2D47" w:rsidP="004F2D47">
      <w:pPr>
        <w:pStyle w:val="Heading3"/>
      </w:pPr>
      <w:r>
        <w:t xml:space="preserve">This article will walk through how to set up communications with Fanuc </w:t>
      </w:r>
      <w:proofErr w:type="spellStart"/>
      <w:r>
        <w:t>ethernet</w:t>
      </w:r>
      <w:proofErr w:type="spellEnd"/>
      <w:r>
        <w:t xml:space="preserve"> I/O.</w:t>
      </w:r>
    </w:p>
    <w:p w:rsidR="004F2D47" w:rsidRDefault="004F2D47" w:rsidP="004F2D47">
      <w:pPr>
        <w:pStyle w:val="NormalWeb"/>
      </w:pPr>
      <w:bookmarkStart w:id="5" w:name="_GoBack"/>
      <w:r>
        <w:rPr>
          <w:noProof/>
          <w:color w:val="0000FF"/>
        </w:rPr>
        <w:drawing>
          <wp:inline distT="0" distB="0" distL="0" distR="0">
            <wp:extent cx="5581650" cy="3587140"/>
            <wp:effectExtent l="0" t="0" r="0" b="0"/>
            <wp:docPr id="41" name="Picture 41" descr="https://theautomationblog.com/wp-content/uploads/2020/10/TheAutomationBlog-20-10-ImageBy-Dan-Staifer-Fi-500x321.png">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theautomationblog.com/wp-content/uploads/2020/10/TheAutomationBlog-20-10-ImageBy-Dan-Staifer-Fi-500x321.png">
                      <a:hlinkClick r:id="rId42"/>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08213" cy="3604211"/>
                    </a:xfrm>
                    <a:prstGeom prst="rect">
                      <a:avLst/>
                    </a:prstGeom>
                    <a:noFill/>
                    <a:ln>
                      <a:noFill/>
                    </a:ln>
                  </pic:spPr>
                </pic:pic>
              </a:graphicData>
            </a:graphic>
          </wp:inline>
        </w:drawing>
      </w:r>
      <w:bookmarkEnd w:id="5"/>
    </w:p>
    <w:p w:rsidR="004F2D47" w:rsidRDefault="004F2D47" w:rsidP="004F2D47">
      <w:pPr>
        <w:pStyle w:val="NormalWeb"/>
      </w:pPr>
      <w:r>
        <w:lastRenderedPageBreak/>
        <w:t>This article will assume the reader has a base level of know of Fanuc Robotics. It can be quite dangerous if an untrained operator or engineer will attempt to use a teach pendent devoid of the proper training.</w:t>
      </w:r>
    </w:p>
    <w:p w:rsidR="004F2D47" w:rsidRDefault="004F2D47" w:rsidP="004F2D47">
      <w:pPr>
        <w:pStyle w:val="NormalWeb"/>
      </w:pPr>
      <w:r>
        <w:t>I highly recommend taking a basic Robotic operations course through Fanuc or with a Fanuc Certified educator at a local Community College or Four Year University.</w:t>
      </w:r>
    </w:p>
    <w:p w:rsidR="004F2D47" w:rsidRDefault="004F2D47" w:rsidP="004F2D47">
      <w:pPr>
        <w:pStyle w:val="NormalWeb"/>
      </w:pPr>
      <w:r>
        <w:t>In spite of this warning, I will touch on certain items that you need to set up Fanuc’s side in order to monitor/control the robot.</w:t>
      </w:r>
    </w:p>
    <w:p w:rsidR="004F2D47" w:rsidRDefault="004F2D47" w:rsidP="004F2D47">
      <w:pPr>
        <w:pStyle w:val="NormalWeb"/>
      </w:pPr>
      <w:r>
        <w:t>In order for Fanuc Ethernet I/O to work, the EIP Scanner Option (R784) needs to be installed on the controller.</w:t>
      </w:r>
    </w:p>
    <w:p w:rsidR="004F2D47" w:rsidRDefault="004F2D47" w:rsidP="004F2D47">
      <w:pPr>
        <w:pStyle w:val="NormalWeb"/>
      </w:pPr>
      <w:r>
        <w:t>This option only allows communication of discrete I/O status over Ethernet. See below to see if this option is available.</w:t>
      </w:r>
    </w:p>
    <w:p w:rsidR="004F2D47" w:rsidRDefault="004F2D47" w:rsidP="004F2D47">
      <w:r>
        <w:rPr>
          <w:noProof/>
          <w:color w:val="0000FF"/>
        </w:rPr>
        <w:drawing>
          <wp:inline distT="0" distB="0" distL="0" distR="0">
            <wp:extent cx="5803900" cy="2040181"/>
            <wp:effectExtent l="0" t="0" r="6350" b="0"/>
            <wp:docPr id="40" name="Picture 40" descr="https://theautomationblog.com/wp-content/uploads/2020/10/TheAutomationBlog-20-10-ImageBy-Dan-Staifer-FanucOptionCompare.jpg">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heautomationblog.com/wp-content/uploads/2020/10/TheAutomationBlog-20-10-ImageBy-Dan-Staifer-FanucOptionCompare.jpg">
                      <a:hlinkClick r:id="rId44"/>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61102" cy="2060289"/>
                    </a:xfrm>
                    <a:prstGeom prst="rect">
                      <a:avLst/>
                    </a:prstGeom>
                    <a:noFill/>
                    <a:ln>
                      <a:noFill/>
                    </a:ln>
                  </pic:spPr>
                </pic:pic>
              </a:graphicData>
            </a:graphic>
          </wp:inline>
        </w:drawing>
      </w:r>
      <w:r>
        <w:t xml:space="preserve">Image by Dan </w:t>
      </w:r>
      <w:proofErr w:type="spellStart"/>
      <w:r>
        <w:t>Staifer</w:t>
      </w:r>
      <w:proofErr w:type="spellEnd"/>
      <w:r>
        <w:t xml:space="preserve"> </w:t>
      </w:r>
    </w:p>
    <w:p w:rsidR="004F2D47" w:rsidRDefault="004F2D47" w:rsidP="004F2D47">
      <w:pPr>
        <w:pStyle w:val="NormalWeb"/>
        <w:jc w:val="center"/>
      </w:pPr>
      <w:r>
        <w:rPr>
          <w:rStyle w:val="Strong"/>
          <w:i/>
          <w:iCs/>
        </w:rPr>
        <w:t>Caption:</w:t>
      </w:r>
      <w:r>
        <w:rPr>
          <w:rStyle w:val="Emphasis"/>
        </w:rPr>
        <w:t xml:space="preserve"> If you don’t see “Ethernet I/O” as an option, you will need to contact Fanuc or a Fanuc distributor to purchase the correct PAC code.</w:t>
      </w:r>
    </w:p>
    <w:p w:rsidR="004F2D47" w:rsidRDefault="004F2D47" w:rsidP="004F2D47">
      <w:r>
        <w:rPr>
          <w:noProof/>
          <w:color w:val="0000FF"/>
        </w:rPr>
        <w:drawing>
          <wp:inline distT="0" distB="0" distL="0" distR="0">
            <wp:extent cx="5632450" cy="654936"/>
            <wp:effectExtent l="0" t="0" r="6350" b="0"/>
            <wp:docPr id="39" name="Picture 39" descr="https://theautomationblog.com/wp-content/uploads/2023/06/2023-860x100-B7-PAC-Reviews.jpg">
              <a:hlinkClick xmlns:a="http://schemas.openxmlformats.org/drawingml/2006/main" r:id="rId4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heautomationblog.com/wp-content/uploads/2023/06/2023-860x100-B7-PAC-Reviews.jpg">
                      <a:hlinkClick r:id="rId46" tgtFrame="&quot;_blank&quot;"/>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12414" cy="675862"/>
                    </a:xfrm>
                    <a:prstGeom prst="rect">
                      <a:avLst/>
                    </a:prstGeom>
                    <a:noFill/>
                    <a:ln>
                      <a:noFill/>
                    </a:ln>
                  </pic:spPr>
                </pic:pic>
              </a:graphicData>
            </a:graphic>
          </wp:inline>
        </w:drawing>
      </w:r>
    </w:p>
    <w:p w:rsidR="004F2D47" w:rsidRDefault="004F2D47" w:rsidP="004F2D47">
      <w:pPr>
        <w:pStyle w:val="NormalWeb"/>
      </w:pPr>
      <w:r>
        <w:t>Other items that will need to be setup on the Fanuc side are.</w:t>
      </w:r>
    </w:p>
    <w:p w:rsidR="004F2D47" w:rsidRDefault="004F2D47" w:rsidP="004F2D47">
      <w:pPr>
        <w:numPr>
          <w:ilvl w:val="0"/>
          <w:numId w:val="38"/>
        </w:numPr>
        <w:spacing w:before="100" w:beforeAutospacing="1" w:after="100" w:afterAutospacing="1" w:line="240" w:lineRule="auto"/>
      </w:pPr>
      <w:r>
        <w:t xml:space="preserve">Under </w:t>
      </w:r>
      <w:proofErr w:type="spellStart"/>
      <w:r>
        <w:t>ethernet</w:t>
      </w:r>
      <w:proofErr w:type="spellEnd"/>
      <w:r>
        <w:t xml:space="preserve"> I/P menu, the connection needs to be enabled and configured for how many 16 bit words will be transferred between the robot and the plc.</w:t>
      </w:r>
    </w:p>
    <w:p w:rsidR="004F2D47" w:rsidRDefault="004F2D47" w:rsidP="004F2D47">
      <w:pPr>
        <w:pStyle w:val="NormalWeb"/>
      </w:pPr>
      <w:r>
        <w:rPr>
          <w:noProof/>
          <w:color w:val="0000FF"/>
        </w:rPr>
        <w:lastRenderedPageBreak/>
        <w:drawing>
          <wp:inline distT="0" distB="0" distL="0" distR="0">
            <wp:extent cx="4762500" cy="3257550"/>
            <wp:effectExtent l="0" t="0" r="0" b="0"/>
            <wp:docPr id="38" name="Picture 38" descr="https://theautomationblog.com/wp-content/uploads/2020/10/TheAutomationBlog-20-10-ImageBy-Dan-Staifer-AdapterConfig-500x342.jpg">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theautomationblog.com/wp-content/uploads/2020/10/TheAutomationBlog-20-10-ImageBy-Dan-Staifer-AdapterConfig-500x342.jpg">
                      <a:hlinkClick r:id="rId48"/>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62500" cy="3257550"/>
                    </a:xfrm>
                    <a:prstGeom prst="rect">
                      <a:avLst/>
                    </a:prstGeom>
                    <a:noFill/>
                    <a:ln>
                      <a:noFill/>
                    </a:ln>
                  </pic:spPr>
                </pic:pic>
              </a:graphicData>
            </a:graphic>
          </wp:inline>
        </w:drawing>
      </w:r>
    </w:p>
    <w:p w:rsidR="004F2D47" w:rsidRDefault="004F2D47" w:rsidP="004F2D47">
      <w:pPr>
        <w:numPr>
          <w:ilvl w:val="0"/>
          <w:numId w:val="39"/>
        </w:numPr>
        <w:spacing w:before="100" w:beforeAutospacing="1" w:after="100" w:afterAutospacing="1" w:line="240" w:lineRule="auto"/>
      </w:pPr>
      <w:r>
        <w:t>UI signals should be enabled in menu-&gt;system-&gt;</w:t>
      </w:r>
      <w:proofErr w:type="spellStart"/>
      <w:r>
        <w:t>config</w:t>
      </w:r>
      <w:proofErr w:type="spellEnd"/>
    </w:p>
    <w:p w:rsidR="004F2D47" w:rsidRDefault="004F2D47" w:rsidP="004F2D47">
      <w:pPr>
        <w:pStyle w:val="NormalWeb"/>
      </w:pPr>
      <w:r>
        <w:rPr>
          <w:noProof/>
          <w:color w:val="0000FF"/>
        </w:rPr>
        <w:drawing>
          <wp:inline distT="0" distB="0" distL="0" distR="0">
            <wp:extent cx="4762500" cy="3206750"/>
            <wp:effectExtent l="0" t="0" r="0" b="0"/>
            <wp:docPr id="37" name="Picture 37" descr="https://theautomationblog.com/wp-content/uploads/2020/10/TheAutomationBlog-20-10-ImageBy-Dan-Staifer-SystemConfig-500x337.jpg">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theautomationblog.com/wp-content/uploads/2020/10/TheAutomationBlog-20-10-ImageBy-Dan-Staifer-SystemConfig-500x337.jpg">
                      <a:hlinkClick r:id="rId50"/>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62500" cy="3206750"/>
                    </a:xfrm>
                    <a:prstGeom prst="rect">
                      <a:avLst/>
                    </a:prstGeom>
                    <a:noFill/>
                    <a:ln>
                      <a:noFill/>
                    </a:ln>
                  </pic:spPr>
                </pic:pic>
              </a:graphicData>
            </a:graphic>
          </wp:inline>
        </w:drawing>
      </w:r>
    </w:p>
    <w:p w:rsidR="004F2D47" w:rsidRDefault="004F2D47" w:rsidP="004F2D47">
      <w:pPr>
        <w:numPr>
          <w:ilvl w:val="0"/>
          <w:numId w:val="40"/>
        </w:numPr>
        <w:spacing w:before="100" w:beforeAutospacing="1" w:after="100" w:afterAutospacing="1" w:line="240" w:lineRule="auto"/>
      </w:pPr>
      <w:r>
        <w:t xml:space="preserve">The robot needs an IP address assigned to it and the PLC/CPU need added to allow communication via Menu-&gt;Setup-&gt;Host </w:t>
      </w:r>
      <w:proofErr w:type="spellStart"/>
      <w:r>
        <w:t>Comm</w:t>
      </w:r>
      <w:proofErr w:type="spellEnd"/>
      <w:r>
        <w:t>-&gt;TCP/IP</w:t>
      </w:r>
    </w:p>
    <w:p w:rsidR="004F2D47" w:rsidRDefault="004F2D47" w:rsidP="004F2D47">
      <w:pPr>
        <w:pStyle w:val="NormalWeb"/>
      </w:pPr>
      <w:r>
        <w:rPr>
          <w:noProof/>
          <w:color w:val="0000FF"/>
        </w:rPr>
        <w:lastRenderedPageBreak/>
        <w:drawing>
          <wp:inline distT="0" distB="0" distL="0" distR="0">
            <wp:extent cx="4762500" cy="2990850"/>
            <wp:effectExtent l="0" t="0" r="0" b="0"/>
            <wp:docPr id="36" name="Picture 36" descr="https://theautomationblog.com/wp-content/uploads/2020/10/TheAutomationBlog-20-10-ImageBy-Dan-Staifer-Setup-Host-Comm-500x314.jpg">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theautomationblog.com/wp-content/uploads/2020/10/TheAutomationBlog-20-10-ImageBy-Dan-Staifer-Setup-Host-Comm-500x314.jpg">
                      <a:hlinkClick r:id="rId52"/>
                    </pic:cNvP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62500" cy="2990850"/>
                    </a:xfrm>
                    <a:prstGeom prst="rect">
                      <a:avLst/>
                    </a:prstGeom>
                    <a:noFill/>
                    <a:ln>
                      <a:noFill/>
                    </a:ln>
                  </pic:spPr>
                </pic:pic>
              </a:graphicData>
            </a:graphic>
          </wp:inline>
        </w:drawing>
      </w:r>
    </w:p>
    <w:p w:rsidR="004F2D47" w:rsidRDefault="004F2D47" w:rsidP="004F2D47">
      <w:pPr>
        <w:numPr>
          <w:ilvl w:val="0"/>
          <w:numId w:val="41"/>
        </w:numPr>
        <w:spacing w:before="100" w:beforeAutospacing="1" w:after="100" w:afterAutospacing="1" w:line="240" w:lineRule="auto"/>
      </w:pPr>
      <w:r>
        <w:t xml:space="preserve">Digital I/O and UOP I/O need mapped to rack 89 to point to </w:t>
      </w:r>
      <w:proofErr w:type="spellStart"/>
      <w:r>
        <w:t>ethernet</w:t>
      </w:r>
      <w:proofErr w:type="spellEnd"/>
      <w:r>
        <w:t xml:space="preserve"> I/O and cycle power. This may look different depending on your hardware configuration.</w:t>
      </w:r>
    </w:p>
    <w:p w:rsidR="004F2D47" w:rsidRDefault="004F2D47" w:rsidP="004F2D47">
      <w:pPr>
        <w:pStyle w:val="NormalWeb"/>
      </w:pPr>
      <w:r>
        <w:rPr>
          <w:noProof/>
          <w:color w:val="0000FF"/>
        </w:rPr>
        <w:drawing>
          <wp:inline distT="0" distB="0" distL="0" distR="0">
            <wp:extent cx="4762500" cy="3289300"/>
            <wp:effectExtent l="0" t="0" r="0" b="6350"/>
            <wp:docPr id="35" name="Picture 35" descr="https://theautomationblog.com/wp-content/uploads/2020/10/TheAutomationBlog-20-10-ImageBy-Dan-Staifer-IOEthernetConfig-500x345.jpg">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theautomationblog.com/wp-content/uploads/2020/10/TheAutomationBlog-20-10-ImageBy-Dan-Staifer-IOEthernetConfig-500x345.jpg">
                      <a:hlinkClick r:id="rId54"/>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62500" cy="3289300"/>
                    </a:xfrm>
                    <a:prstGeom prst="rect">
                      <a:avLst/>
                    </a:prstGeom>
                    <a:noFill/>
                    <a:ln>
                      <a:noFill/>
                    </a:ln>
                  </pic:spPr>
                </pic:pic>
              </a:graphicData>
            </a:graphic>
          </wp:inline>
        </w:drawing>
      </w:r>
    </w:p>
    <w:p w:rsidR="004F2D47" w:rsidRDefault="004F2D47" w:rsidP="004F2D47">
      <w:pPr>
        <w:pStyle w:val="NormalWeb"/>
      </w:pPr>
      <w:r>
        <w:t xml:space="preserve">If everything is setup properly, the robot should appear in </w:t>
      </w:r>
      <w:proofErr w:type="spellStart"/>
      <w:r>
        <w:t>RSLinx</w:t>
      </w:r>
      <w:proofErr w:type="spellEnd"/>
      <w:r>
        <w:t xml:space="preserve"> Classic as an unrecognized device.</w:t>
      </w:r>
    </w:p>
    <w:p w:rsidR="004F2D47" w:rsidRDefault="004F2D47" w:rsidP="004F2D47">
      <w:pPr>
        <w:pStyle w:val="NormalWeb"/>
      </w:pPr>
      <w:r>
        <w:rPr>
          <w:noProof/>
          <w:color w:val="0000FF"/>
        </w:rPr>
        <w:lastRenderedPageBreak/>
        <w:drawing>
          <wp:inline distT="0" distB="0" distL="0" distR="0">
            <wp:extent cx="4762500" cy="2724150"/>
            <wp:effectExtent l="0" t="0" r="0" b="0"/>
            <wp:docPr id="34" name="Picture 34" descr="https://theautomationblog.com/wp-content/uploads/2020/10/TheAutomationBlog-20-10-ImageBy-Dan-Staifer-RSlinx-500x286.jpg">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theautomationblog.com/wp-content/uploads/2020/10/TheAutomationBlog-20-10-ImageBy-Dan-Staifer-RSlinx-500x286.jpg">
                      <a:hlinkClick r:id="rId56"/>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762500" cy="2724150"/>
                    </a:xfrm>
                    <a:prstGeom prst="rect">
                      <a:avLst/>
                    </a:prstGeom>
                    <a:noFill/>
                    <a:ln>
                      <a:noFill/>
                    </a:ln>
                  </pic:spPr>
                </pic:pic>
              </a:graphicData>
            </a:graphic>
          </wp:inline>
        </w:drawing>
      </w:r>
    </w:p>
    <w:p w:rsidR="004F2D47" w:rsidRDefault="004F2D47" w:rsidP="004F2D47">
      <w:pPr>
        <w:pStyle w:val="NormalWeb"/>
      </w:pPr>
      <w:r>
        <w:t xml:space="preserve">In the PLC’s IO configuration, I recommend using a generic </w:t>
      </w:r>
      <w:proofErr w:type="spellStart"/>
      <w:r>
        <w:t>ethernet</w:t>
      </w:r>
      <w:proofErr w:type="spellEnd"/>
      <w:r>
        <w:t xml:space="preserve"> module instead of Fanuc profiles under the vendor module files since these may not be available in all versions.</w:t>
      </w:r>
    </w:p>
    <w:p w:rsidR="004F2D47" w:rsidRDefault="004F2D47" w:rsidP="004F2D47">
      <w:pPr>
        <w:pStyle w:val="NormalWeb"/>
      </w:pPr>
      <w:r>
        <w:rPr>
          <w:noProof/>
          <w:color w:val="0000FF"/>
        </w:rPr>
        <w:drawing>
          <wp:inline distT="0" distB="0" distL="0" distR="0">
            <wp:extent cx="4762500" cy="3219450"/>
            <wp:effectExtent l="0" t="0" r="0" b="0"/>
            <wp:docPr id="33" name="Picture 33" descr="https://theautomationblog.com/wp-content/uploads/2020/10/TheAutomationBlog-20-10-ImageBy-Dan-Staifer-GenericModule-500x338.jpg">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theautomationblog.com/wp-content/uploads/2020/10/TheAutomationBlog-20-10-ImageBy-Dan-Staifer-GenericModule-500x338.jpg">
                      <a:hlinkClick r:id="rId58"/>
                    </pic:cNvP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62500" cy="3219450"/>
                    </a:xfrm>
                    <a:prstGeom prst="rect">
                      <a:avLst/>
                    </a:prstGeom>
                    <a:noFill/>
                    <a:ln>
                      <a:noFill/>
                    </a:ln>
                  </pic:spPr>
                </pic:pic>
              </a:graphicData>
            </a:graphic>
          </wp:inline>
        </w:drawing>
      </w:r>
      <w:r>
        <w:t>Setup the generic module with the following settings:</w:t>
      </w:r>
    </w:p>
    <w:p w:rsidR="004F2D47" w:rsidRDefault="004F2D47" w:rsidP="004F2D47">
      <w:pPr>
        <w:pStyle w:val="NormalWeb"/>
      </w:pPr>
      <w:r>
        <w:rPr>
          <w:noProof/>
          <w:color w:val="0000FF"/>
        </w:rPr>
        <w:lastRenderedPageBreak/>
        <w:drawing>
          <wp:inline distT="0" distB="0" distL="0" distR="0">
            <wp:extent cx="4762500" cy="2844800"/>
            <wp:effectExtent l="0" t="0" r="0" b="0"/>
            <wp:docPr id="32" name="Picture 32" descr="https://theautomationblog.com/wp-content/uploads/2020/10/TheAutomationBlog-20-10-ImageBy-Dan-Staifer-Module-Properties-500x299.jpg">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theautomationblog.com/wp-content/uploads/2020/10/TheAutomationBlog-20-10-ImageBy-Dan-Staifer-Module-Properties-500x299.jpg">
                      <a:hlinkClick r:id="rId60"/>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762500" cy="2844800"/>
                    </a:xfrm>
                    <a:prstGeom prst="rect">
                      <a:avLst/>
                    </a:prstGeom>
                    <a:noFill/>
                    <a:ln>
                      <a:noFill/>
                    </a:ln>
                  </pic:spPr>
                </pic:pic>
              </a:graphicData>
            </a:graphic>
          </wp:inline>
        </w:drawing>
      </w:r>
    </w:p>
    <w:p w:rsidR="004F2D47" w:rsidRDefault="004F2D47" w:rsidP="004F2D47">
      <w:pPr>
        <w:pStyle w:val="NormalWeb"/>
      </w:pPr>
      <w:r>
        <w:t>At this point, download the project to the controller and ensure communication is taking place. The DO/UO from the robot will be Inputs on the PLC and the PLC outputs will be DI/UI on the robot depending on the mapping and set up of your robot.</w:t>
      </w:r>
    </w:p>
    <w:p w:rsidR="004F2D47" w:rsidRDefault="004F2D47" w:rsidP="004F2D47">
      <w:pPr>
        <w:pStyle w:val="NormalWeb"/>
      </w:pPr>
      <w:r>
        <w:rPr>
          <w:noProof/>
          <w:color w:val="0000FF"/>
        </w:rPr>
        <w:drawing>
          <wp:inline distT="0" distB="0" distL="0" distR="0">
            <wp:extent cx="4762500" cy="1473200"/>
            <wp:effectExtent l="0" t="0" r="0" b="0"/>
            <wp:docPr id="31" name="Picture 31" descr="https://theautomationblog.com/wp-content/uploads/2020/10/TheAutomationBlog-20-10-ImageBy-Dan-Staifer-FanucTags-500x155.jpg">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theautomationblog.com/wp-content/uploads/2020/10/TheAutomationBlog-20-10-ImageBy-Dan-Staifer-FanucTags-500x155.jpg">
                      <a:hlinkClick r:id="rId62"/>
                    </pic:cNvPr>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762500" cy="1473200"/>
                    </a:xfrm>
                    <a:prstGeom prst="rect">
                      <a:avLst/>
                    </a:prstGeom>
                    <a:noFill/>
                    <a:ln>
                      <a:noFill/>
                    </a:ln>
                  </pic:spPr>
                </pic:pic>
              </a:graphicData>
            </a:graphic>
          </wp:inline>
        </w:drawing>
      </w:r>
    </w:p>
    <w:p w:rsidR="004F2D47" w:rsidRDefault="004F2D47" w:rsidP="004F2D47">
      <w:pPr>
        <w:pStyle w:val="NormalWeb"/>
      </w:pPr>
      <w:r>
        <w:t>If you want the plc to start the robot, UI signals need to be enabled and mapped to the correct bits based on the Robot’s configuration. Also, Remote/Local setup needs to be changed to Remote to all remote start.</w:t>
      </w:r>
    </w:p>
    <w:p w:rsidR="004F2D47" w:rsidRDefault="004F2D47" w:rsidP="004F2D47">
      <w:pPr>
        <w:pStyle w:val="NormalWeb"/>
      </w:pPr>
      <w:r>
        <w:rPr>
          <w:noProof/>
          <w:color w:val="0000FF"/>
        </w:rPr>
        <w:lastRenderedPageBreak/>
        <w:drawing>
          <wp:inline distT="0" distB="0" distL="0" distR="0">
            <wp:extent cx="4762500" cy="2984500"/>
            <wp:effectExtent l="0" t="0" r="0" b="6350"/>
            <wp:docPr id="30" name="Picture 30" descr="https://theautomationblog.com/wp-content/uploads/2020/10/TheAutomationBlog-20-10-ImageBy-Dan-Staifer-SystemConfig_Remote-500x313.jp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eautomationblog.com/wp-content/uploads/2020/10/TheAutomationBlog-20-10-ImageBy-Dan-Staifer-SystemConfig_Remote-500x313.jpg">
                      <a:hlinkClick r:id="rId64"/>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762500" cy="2984500"/>
                    </a:xfrm>
                    <a:prstGeom prst="rect">
                      <a:avLst/>
                    </a:prstGeom>
                    <a:noFill/>
                    <a:ln>
                      <a:noFill/>
                    </a:ln>
                  </pic:spPr>
                </pic:pic>
              </a:graphicData>
            </a:graphic>
          </wp:inline>
        </w:drawing>
      </w:r>
    </w:p>
    <w:p w:rsidR="004F2D47" w:rsidRDefault="004F2D47" w:rsidP="004F2D47">
      <w:pPr>
        <w:pStyle w:val="NormalWeb"/>
      </w:pPr>
      <w:r>
        <w:t>With these steps, communication can be established between the robot and the PLC.</w:t>
      </w:r>
    </w:p>
    <w:p w:rsidR="004F2D47" w:rsidRDefault="004F2D47" w:rsidP="004F2D47">
      <w:pPr>
        <w:pStyle w:val="NormalWeb"/>
      </w:pPr>
      <w:r>
        <w:t xml:space="preserve">Written by Dan </w:t>
      </w:r>
      <w:proofErr w:type="spellStart"/>
      <w:r>
        <w:t>Staifer</w:t>
      </w:r>
      <w:proofErr w:type="spellEnd"/>
      <w:r>
        <w:t xml:space="preserve"> Assistant Professor, Department Chair, and Freelance Writer </w:t>
      </w:r>
    </w:p>
    <w:p w:rsidR="004F2D47" w:rsidRDefault="004F2D47" w:rsidP="004F2D47">
      <w:pPr>
        <w:pStyle w:val="NormalWeb"/>
      </w:pPr>
      <w:r>
        <w:rPr>
          <w:rStyle w:val="Strong"/>
        </w:rPr>
        <w:t>Have a question?</w:t>
      </w:r>
      <w:r>
        <w:t xml:space="preserve"> Join </w:t>
      </w:r>
      <w:hyperlink r:id="rId66" w:history="1">
        <w:r>
          <w:rPr>
            <w:rStyle w:val="Hyperlink"/>
          </w:rPr>
          <w:t>our community</w:t>
        </w:r>
      </w:hyperlink>
      <w:r>
        <w:t xml:space="preserve"> of pros to take part in the discussion! You'll also find all of our automation courses at </w:t>
      </w:r>
      <w:hyperlink r:id="rId67" w:history="1">
        <w:r>
          <w:rPr>
            <w:rStyle w:val="Hyperlink"/>
          </w:rPr>
          <w:t>TheAutomationSchool.com</w:t>
        </w:r>
      </w:hyperlink>
      <w:r>
        <w:t>.</w:t>
      </w:r>
    </w:p>
    <w:p w:rsidR="004F2D47" w:rsidRDefault="004F2D47" w:rsidP="004F2D47">
      <w:pPr>
        <w:pStyle w:val="NormalWeb"/>
      </w:pPr>
      <w:r>
        <w:rPr>
          <w:rStyle w:val="Strong"/>
        </w:rPr>
        <w:t xml:space="preserve">Sponsor and Advertise: </w:t>
      </w:r>
      <w:r>
        <w:t xml:space="preserve">Get your product or service in front of our 75K followers while also supporting independent automation journalism by sponsoring or advertising with us! Learn more in our Media Guide </w:t>
      </w:r>
      <w:hyperlink r:id="rId68" w:tgtFrame="_blank" w:history="1">
        <w:r>
          <w:rPr>
            <w:rStyle w:val="Hyperlink"/>
          </w:rPr>
          <w:t>here</w:t>
        </w:r>
      </w:hyperlink>
      <w:r>
        <w:rPr>
          <w:color w:val="000000"/>
        </w:rPr>
        <w:t xml:space="preserve">, or contact us using </w:t>
      </w:r>
      <w:hyperlink r:id="rId69" w:history="1">
        <w:r>
          <w:rPr>
            <w:rStyle w:val="Hyperlink"/>
          </w:rPr>
          <w:t>this form</w:t>
        </w:r>
      </w:hyperlink>
      <w:r>
        <w:rPr>
          <w:color w:val="000000"/>
        </w:rPr>
        <w:t>.</w:t>
      </w:r>
    </w:p>
    <w:p w:rsidR="004F2D47" w:rsidRDefault="004F2D47" w:rsidP="004F2D47">
      <w:pPr>
        <w:numPr>
          <w:ilvl w:val="0"/>
          <w:numId w:val="42"/>
        </w:numPr>
        <w:spacing w:before="100" w:beforeAutospacing="1" w:after="100" w:afterAutospacing="1" w:line="240" w:lineRule="auto"/>
      </w:pPr>
      <w:hyperlink r:id="rId70" w:anchor="abh_about" w:history="1">
        <w:r>
          <w:rPr>
            <w:rStyle w:val="Hyperlink"/>
          </w:rPr>
          <w:t>Author</w:t>
        </w:r>
      </w:hyperlink>
    </w:p>
    <w:p w:rsidR="004F2D47" w:rsidRDefault="004F2D47" w:rsidP="004F2D47">
      <w:pPr>
        <w:numPr>
          <w:ilvl w:val="0"/>
          <w:numId w:val="42"/>
        </w:numPr>
        <w:spacing w:before="100" w:beforeAutospacing="1" w:after="100" w:afterAutospacing="1" w:line="240" w:lineRule="auto"/>
      </w:pPr>
      <w:hyperlink r:id="rId71" w:anchor="abh_posts" w:history="1">
        <w:r>
          <w:rPr>
            <w:rStyle w:val="Hyperlink"/>
          </w:rPr>
          <w:t>Recent Posts</w:t>
        </w:r>
      </w:hyperlink>
    </w:p>
    <w:p w:rsidR="004F2D47" w:rsidRDefault="004F2D47" w:rsidP="004F2D47">
      <w:pPr>
        <w:spacing w:after="0"/>
      </w:pPr>
      <w:r>
        <w:rPr>
          <w:noProof/>
          <w:color w:val="0000FF"/>
        </w:rPr>
        <w:drawing>
          <wp:inline distT="0" distB="0" distL="0" distR="0">
            <wp:extent cx="2381250" cy="2381250"/>
            <wp:effectExtent l="0" t="0" r="0" b="0"/>
            <wp:docPr id="29" name="Picture 29" descr="Dan Staifer">
              <a:hlinkClick xmlns:a="http://schemas.openxmlformats.org/drawingml/2006/main" r:id="rId39" tooltip="&quot;Dan Staife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an Staifer">
                      <a:hlinkClick r:id="rId39" tooltip="&quot;Dan Staifer&quot;"/>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81250" cy="2381250"/>
                    </a:xfrm>
                    <a:prstGeom prst="rect">
                      <a:avLst/>
                    </a:prstGeom>
                    <a:noFill/>
                    <a:ln>
                      <a:noFill/>
                    </a:ln>
                  </pic:spPr>
                </pic:pic>
              </a:graphicData>
            </a:graphic>
          </wp:inline>
        </w:drawing>
      </w:r>
    </w:p>
    <w:p w:rsidR="004F2D47" w:rsidRDefault="004F2D47" w:rsidP="004F2D47">
      <w:hyperlink r:id="rId73" w:history="1">
        <w:r>
          <w:rPr>
            <w:rStyle w:val="Hyperlink"/>
          </w:rPr>
          <w:t xml:space="preserve">Dan </w:t>
        </w:r>
        <w:proofErr w:type="spellStart"/>
        <w:r>
          <w:rPr>
            <w:rStyle w:val="Hyperlink"/>
          </w:rPr>
          <w:t>Staifer</w:t>
        </w:r>
        <w:proofErr w:type="spellEnd"/>
      </w:hyperlink>
    </w:p>
    <w:p w:rsidR="004F2D47" w:rsidRDefault="004F2D47" w:rsidP="004F2D47">
      <w:r>
        <w:lastRenderedPageBreak/>
        <w:t xml:space="preserve">Dan is a freelance writer for The Automation Blog, as well as an Assistant Professor, Department Chair, and Fanuc Certified educator teaching PLCs, Robots, and </w:t>
      </w:r>
      <w:proofErr w:type="spellStart"/>
      <w:r>
        <w:t>Mechatroincs</w:t>
      </w:r>
      <w:proofErr w:type="spellEnd"/>
      <w:r>
        <w:t xml:space="preserve"> in Richmond, Indiana.</w:t>
      </w:r>
    </w:p>
    <w:p w:rsidR="00783AD1" w:rsidRDefault="00783AD1"/>
    <w:sectPr w:rsidR="00783AD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00000001" w:usb1="00000003" w:usb2="00000000" w:usb3="00000000" w:csb0="0000019F" w:csb1="00000000"/>
  </w:font>
  <w:font w:name="Aptos Display">
    <w:altName w:val="Arial"/>
    <w:charset w:val="00"/>
    <w:family w:val="swiss"/>
    <w:pitch w:val="variable"/>
    <w:sig w:usb0="00000001" w:usb1="00000003"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B91624"/>
    <w:multiLevelType w:val="multilevel"/>
    <w:tmpl w:val="53C046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90E0D8C"/>
    <w:multiLevelType w:val="multilevel"/>
    <w:tmpl w:val="B1BABF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1D66E94"/>
    <w:multiLevelType w:val="multilevel"/>
    <w:tmpl w:val="CC9C0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5062AE9"/>
    <w:multiLevelType w:val="multilevel"/>
    <w:tmpl w:val="E4426D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D9F159D"/>
    <w:multiLevelType w:val="multilevel"/>
    <w:tmpl w:val="97A069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F7D374A"/>
    <w:multiLevelType w:val="multilevel"/>
    <w:tmpl w:val="A3300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8E16E8F"/>
    <w:multiLevelType w:val="multilevel"/>
    <w:tmpl w:val="7500F4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0795CCC"/>
    <w:multiLevelType w:val="multilevel"/>
    <w:tmpl w:val="77428D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36902E7"/>
    <w:multiLevelType w:val="multilevel"/>
    <w:tmpl w:val="0D7CAD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5B0636D"/>
    <w:multiLevelType w:val="multilevel"/>
    <w:tmpl w:val="336039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688360A"/>
    <w:multiLevelType w:val="multilevel"/>
    <w:tmpl w:val="A4D87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45F2575"/>
    <w:multiLevelType w:val="multilevel"/>
    <w:tmpl w:val="5B50A0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6334572"/>
    <w:multiLevelType w:val="multilevel"/>
    <w:tmpl w:val="B8B20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7F26382"/>
    <w:multiLevelType w:val="multilevel"/>
    <w:tmpl w:val="8834B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8F47FC5"/>
    <w:multiLevelType w:val="multilevel"/>
    <w:tmpl w:val="F5BE1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ECC2743"/>
    <w:multiLevelType w:val="multilevel"/>
    <w:tmpl w:val="E3002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92B1192"/>
    <w:multiLevelType w:val="multilevel"/>
    <w:tmpl w:val="A3384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AA9611E"/>
    <w:multiLevelType w:val="multilevel"/>
    <w:tmpl w:val="23942E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0167104"/>
    <w:multiLevelType w:val="multilevel"/>
    <w:tmpl w:val="0E54EE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930327F"/>
    <w:multiLevelType w:val="multilevel"/>
    <w:tmpl w:val="C900A8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7CE37422"/>
    <w:multiLevelType w:val="multilevel"/>
    <w:tmpl w:val="33B4F9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7D67355E"/>
    <w:multiLevelType w:val="multilevel"/>
    <w:tmpl w:val="39DC1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lvlOverride w:ilvl="0">
      <w:startOverride w:val="1"/>
    </w:lvlOverride>
  </w:num>
  <w:num w:numId="2">
    <w:abstractNumId w:val="13"/>
    <w:lvlOverride w:ilvl="0">
      <w:startOverride w:val="2"/>
    </w:lvlOverride>
  </w:num>
  <w:num w:numId="3">
    <w:abstractNumId w:val="13"/>
    <w:lvlOverride w:ilvl="0">
      <w:startOverride w:val="3"/>
    </w:lvlOverride>
  </w:num>
  <w:num w:numId="4">
    <w:abstractNumId w:val="13"/>
    <w:lvlOverride w:ilvl="0">
      <w:startOverride w:val="4"/>
    </w:lvlOverride>
  </w:num>
  <w:num w:numId="5">
    <w:abstractNumId w:val="12"/>
    <w:lvlOverride w:ilvl="0">
      <w:startOverride w:val="1"/>
    </w:lvlOverride>
  </w:num>
  <w:num w:numId="6">
    <w:abstractNumId w:val="12"/>
    <w:lvlOverride w:ilvl="0">
      <w:startOverride w:val="2"/>
    </w:lvlOverride>
  </w:num>
  <w:num w:numId="7">
    <w:abstractNumId w:val="12"/>
    <w:lvlOverride w:ilvl="0">
      <w:startOverride w:val="3"/>
    </w:lvlOverride>
  </w:num>
  <w:num w:numId="8">
    <w:abstractNumId w:val="16"/>
    <w:lvlOverride w:ilvl="0">
      <w:startOverride w:val="1"/>
    </w:lvlOverride>
  </w:num>
  <w:num w:numId="9">
    <w:abstractNumId w:val="16"/>
    <w:lvlOverride w:ilvl="0">
      <w:startOverride w:val="2"/>
    </w:lvlOverride>
  </w:num>
  <w:num w:numId="10">
    <w:abstractNumId w:val="16"/>
    <w:lvlOverride w:ilvl="0">
      <w:startOverride w:val="3"/>
    </w:lvlOverride>
  </w:num>
  <w:num w:numId="11">
    <w:abstractNumId w:val="4"/>
    <w:lvlOverride w:ilvl="0">
      <w:startOverride w:val="1"/>
    </w:lvlOverride>
  </w:num>
  <w:num w:numId="12">
    <w:abstractNumId w:val="4"/>
    <w:lvlOverride w:ilvl="0">
      <w:startOverride w:val="2"/>
    </w:lvlOverride>
  </w:num>
  <w:num w:numId="13">
    <w:abstractNumId w:val="4"/>
    <w:lvlOverride w:ilvl="0">
      <w:startOverride w:val="3"/>
    </w:lvlOverride>
  </w:num>
  <w:num w:numId="14">
    <w:abstractNumId w:val="4"/>
    <w:lvlOverride w:ilvl="0">
      <w:startOverride w:val="4"/>
    </w:lvlOverride>
  </w:num>
  <w:num w:numId="15">
    <w:abstractNumId w:val="4"/>
    <w:lvlOverride w:ilvl="0">
      <w:startOverride w:val="5"/>
    </w:lvlOverride>
  </w:num>
  <w:num w:numId="16">
    <w:abstractNumId w:val="4"/>
    <w:lvlOverride w:ilvl="0">
      <w:startOverride w:val="6"/>
    </w:lvlOverride>
  </w:num>
  <w:num w:numId="17">
    <w:abstractNumId w:val="4"/>
    <w:lvlOverride w:ilvl="0">
      <w:startOverride w:val="7"/>
    </w:lvlOverride>
  </w:num>
  <w:num w:numId="18">
    <w:abstractNumId w:val="17"/>
    <w:lvlOverride w:ilvl="0">
      <w:startOverride w:val="1"/>
    </w:lvlOverride>
  </w:num>
  <w:num w:numId="19">
    <w:abstractNumId w:val="17"/>
    <w:lvlOverride w:ilvl="0">
      <w:startOverride w:val="2"/>
    </w:lvlOverride>
  </w:num>
  <w:num w:numId="20">
    <w:abstractNumId w:val="11"/>
    <w:lvlOverride w:ilvl="0">
      <w:startOverride w:val="3"/>
    </w:lvlOverride>
  </w:num>
  <w:num w:numId="21">
    <w:abstractNumId w:val="19"/>
    <w:lvlOverride w:ilvl="0">
      <w:startOverride w:val="4"/>
    </w:lvlOverride>
  </w:num>
  <w:num w:numId="22">
    <w:abstractNumId w:val="3"/>
    <w:lvlOverride w:ilvl="0">
      <w:startOverride w:val="5"/>
    </w:lvlOverride>
  </w:num>
  <w:num w:numId="23">
    <w:abstractNumId w:val="3"/>
    <w:lvlOverride w:ilvl="0">
      <w:startOverride w:val="6"/>
    </w:lvlOverride>
  </w:num>
  <w:num w:numId="24">
    <w:abstractNumId w:val="3"/>
    <w:lvlOverride w:ilvl="0">
      <w:startOverride w:val="7"/>
    </w:lvlOverride>
  </w:num>
  <w:num w:numId="25">
    <w:abstractNumId w:val="1"/>
    <w:lvlOverride w:ilvl="0">
      <w:startOverride w:val="8"/>
    </w:lvlOverride>
  </w:num>
  <w:num w:numId="26">
    <w:abstractNumId w:val="1"/>
    <w:lvlOverride w:ilvl="0">
      <w:startOverride w:val="9"/>
    </w:lvlOverride>
  </w:num>
  <w:num w:numId="27">
    <w:abstractNumId w:val="1"/>
    <w:lvlOverride w:ilvl="0">
      <w:startOverride w:val="10"/>
    </w:lvlOverride>
  </w:num>
  <w:num w:numId="28">
    <w:abstractNumId w:val="0"/>
    <w:lvlOverride w:ilvl="0">
      <w:startOverride w:val="11"/>
    </w:lvlOverride>
  </w:num>
  <w:num w:numId="29">
    <w:abstractNumId w:val="0"/>
    <w:lvlOverride w:ilvl="0">
      <w:startOverride w:val="12"/>
    </w:lvlOverride>
  </w:num>
  <w:num w:numId="30">
    <w:abstractNumId w:val="18"/>
    <w:lvlOverride w:ilvl="0">
      <w:startOverride w:val="1"/>
    </w:lvlOverride>
  </w:num>
  <w:num w:numId="31">
    <w:abstractNumId w:val="18"/>
    <w:lvlOverride w:ilvl="0">
      <w:startOverride w:val="2"/>
    </w:lvlOverride>
  </w:num>
  <w:num w:numId="32">
    <w:abstractNumId w:val="7"/>
    <w:lvlOverride w:ilvl="0">
      <w:startOverride w:val="3"/>
    </w:lvlOverride>
  </w:num>
  <w:num w:numId="33">
    <w:abstractNumId w:val="8"/>
    <w:lvlOverride w:ilvl="0">
      <w:startOverride w:val="1"/>
    </w:lvlOverride>
  </w:num>
  <w:num w:numId="34">
    <w:abstractNumId w:val="15"/>
    <w:lvlOverride w:ilvl="0">
      <w:startOverride w:val="2"/>
    </w:lvlOverride>
  </w:num>
  <w:num w:numId="35">
    <w:abstractNumId w:val="9"/>
    <w:lvlOverride w:ilvl="0">
      <w:startOverride w:val="3"/>
    </w:lvlOverride>
  </w:num>
  <w:num w:numId="36">
    <w:abstractNumId w:val="6"/>
    <w:lvlOverride w:ilvl="0">
      <w:startOverride w:val="4"/>
    </w:lvlOverride>
  </w:num>
  <w:num w:numId="37">
    <w:abstractNumId w:val="20"/>
    <w:lvlOverride w:ilvl="0">
      <w:startOverride w:val="5"/>
    </w:lvlOverride>
  </w:num>
  <w:num w:numId="38">
    <w:abstractNumId w:val="14"/>
  </w:num>
  <w:num w:numId="39">
    <w:abstractNumId w:val="5"/>
  </w:num>
  <w:num w:numId="40">
    <w:abstractNumId w:val="21"/>
  </w:num>
  <w:num w:numId="41">
    <w:abstractNumId w:val="10"/>
  </w:num>
  <w:num w:numId="4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408A"/>
    <w:rsid w:val="00005B6A"/>
    <w:rsid w:val="00365A9C"/>
    <w:rsid w:val="004F2D47"/>
    <w:rsid w:val="00783AD1"/>
    <w:rsid w:val="0078408A"/>
    <w:rsid w:val="00F37E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9A70D03-9911-4E48-9548-2D39A9C3E1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78408A"/>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78408A"/>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78408A"/>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semiHidden/>
    <w:unhideWhenUsed/>
    <w:qFormat/>
    <w:rsid w:val="00783AD1"/>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8408A"/>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78408A"/>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78408A"/>
    <w:rPr>
      <w:rFonts w:ascii="Times New Roman" w:eastAsia="Times New Roman" w:hAnsi="Times New Roman" w:cs="Times New Roman"/>
      <w:b/>
      <w:bCs/>
      <w:sz w:val="27"/>
      <w:szCs w:val="27"/>
    </w:rPr>
  </w:style>
  <w:style w:type="character" w:customStyle="1" w:styleId="systemtitle">
    <w:name w:val="systemtitle"/>
    <w:basedOn w:val="DefaultParagraphFont"/>
    <w:rsid w:val="0078408A"/>
  </w:style>
  <w:style w:type="paragraph" w:styleId="NormalWeb">
    <w:name w:val="Normal (Web)"/>
    <w:basedOn w:val="Normal"/>
    <w:uiPriority w:val="99"/>
    <w:semiHidden/>
    <w:unhideWhenUsed/>
    <w:rsid w:val="0078408A"/>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78408A"/>
    <w:rPr>
      <w:color w:val="0000FF"/>
      <w:u w:val="single"/>
    </w:rPr>
  </w:style>
  <w:style w:type="character" w:customStyle="1" w:styleId="autonumber">
    <w:name w:val="autonumber"/>
    <w:basedOn w:val="DefaultParagraphFont"/>
    <w:rsid w:val="0078408A"/>
  </w:style>
  <w:style w:type="paragraph" w:customStyle="1" w:styleId="image">
    <w:name w:val="image"/>
    <w:basedOn w:val="Normal"/>
    <w:rsid w:val="0078408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4Char">
    <w:name w:val="Heading 4 Char"/>
    <w:basedOn w:val="DefaultParagraphFont"/>
    <w:link w:val="Heading4"/>
    <w:uiPriority w:val="9"/>
    <w:semiHidden/>
    <w:rsid w:val="00783AD1"/>
    <w:rPr>
      <w:rFonts w:asciiTheme="majorHAnsi" w:eastAsiaTheme="majorEastAsia" w:hAnsiTheme="majorHAnsi" w:cstheme="majorBidi"/>
      <w:i/>
      <w:iCs/>
      <w:color w:val="2E74B5" w:themeColor="accent1" w:themeShade="BF"/>
    </w:rPr>
  </w:style>
  <w:style w:type="character" w:customStyle="1" w:styleId="td-post-date">
    <w:name w:val="td-post-date"/>
    <w:basedOn w:val="DefaultParagraphFont"/>
    <w:rsid w:val="004F2D47"/>
  </w:style>
  <w:style w:type="character" w:styleId="Emphasis">
    <w:name w:val="Emphasis"/>
    <w:basedOn w:val="DefaultParagraphFont"/>
    <w:uiPriority w:val="20"/>
    <w:qFormat/>
    <w:rsid w:val="004F2D47"/>
    <w:rPr>
      <w:i/>
      <w:iCs/>
    </w:rPr>
  </w:style>
  <w:style w:type="character" w:styleId="Strong">
    <w:name w:val="Strong"/>
    <w:basedOn w:val="DefaultParagraphFont"/>
    <w:uiPriority w:val="22"/>
    <w:qFormat/>
    <w:rsid w:val="004F2D4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6718694">
      <w:bodyDiv w:val="1"/>
      <w:marLeft w:val="0"/>
      <w:marRight w:val="0"/>
      <w:marTop w:val="0"/>
      <w:marBottom w:val="0"/>
      <w:divBdr>
        <w:top w:val="none" w:sz="0" w:space="0" w:color="auto"/>
        <w:left w:val="none" w:sz="0" w:space="0" w:color="auto"/>
        <w:bottom w:val="none" w:sz="0" w:space="0" w:color="auto"/>
        <w:right w:val="none" w:sz="0" w:space="0" w:color="auto"/>
      </w:divBdr>
    </w:div>
    <w:div w:id="512959974">
      <w:bodyDiv w:val="1"/>
      <w:marLeft w:val="0"/>
      <w:marRight w:val="0"/>
      <w:marTop w:val="0"/>
      <w:marBottom w:val="0"/>
      <w:divBdr>
        <w:top w:val="none" w:sz="0" w:space="0" w:color="auto"/>
        <w:left w:val="none" w:sz="0" w:space="0" w:color="auto"/>
        <w:bottom w:val="none" w:sz="0" w:space="0" w:color="auto"/>
        <w:right w:val="none" w:sz="0" w:space="0" w:color="auto"/>
      </w:divBdr>
      <w:divsChild>
        <w:div w:id="1915776462">
          <w:marLeft w:val="0"/>
          <w:marRight w:val="0"/>
          <w:marTop w:val="0"/>
          <w:marBottom w:val="0"/>
          <w:divBdr>
            <w:top w:val="none" w:sz="0" w:space="0" w:color="auto"/>
            <w:left w:val="none" w:sz="0" w:space="0" w:color="auto"/>
            <w:bottom w:val="none" w:sz="0" w:space="0" w:color="auto"/>
            <w:right w:val="none" w:sz="0" w:space="0" w:color="auto"/>
          </w:divBdr>
          <w:divsChild>
            <w:div w:id="539822244">
              <w:marLeft w:val="0"/>
              <w:marRight w:val="0"/>
              <w:marTop w:val="0"/>
              <w:marBottom w:val="0"/>
              <w:divBdr>
                <w:top w:val="none" w:sz="0" w:space="0" w:color="auto"/>
                <w:left w:val="none" w:sz="0" w:space="0" w:color="auto"/>
                <w:bottom w:val="none" w:sz="0" w:space="0" w:color="auto"/>
                <w:right w:val="none" w:sz="0" w:space="0" w:color="auto"/>
              </w:divBdr>
            </w:div>
            <w:div w:id="263853875">
              <w:marLeft w:val="0"/>
              <w:marRight w:val="0"/>
              <w:marTop w:val="0"/>
              <w:marBottom w:val="0"/>
              <w:divBdr>
                <w:top w:val="none" w:sz="0" w:space="0" w:color="auto"/>
                <w:left w:val="none" w:sz="0" w:space="0" w:color="auto"/>
                <w:bottom w:val="none" w:sz="0" w:space="0" w:color="auto"/>
                <w:right w:val="none" w:sz="0" w:space="0" w:color="auto"/>
              </w:divBdr>
            </w:div>
            <w:div w:id="1026828928">
              <w:marLeft w:val="0"/>
              <w:marRight w:val="0"/>
              <w:marTop w:val="0"/>
              <w:marBottom w:val="0"/>
              <w:divBdr>
                <w:top w:val="none" w:sz="0" w:space="0" w:color="auto"/>
                <w:left w:val="none" w:sz="0" w:space="0" w:color="auto"/>
                <w:bottom w:val="none" w:sz="0" w:space="0" w:color="auto"/>
                <w:right w:val="none" w:sz="0" w:space="0" w:color="auto"/>
              </w:divBdr>
            </w:div>
            <w:div w:id="293098724">
              <w:marLeft w:val="0"/>
              <w:marRight w:val="0"/>
              <w:marTop w:val="0"/>
              <w:marBottom w:val="0"/>
              <w:divBdr>
                <w:top w:val="none" w:sz="0" w:space="0" w:color="auto"/>
                <w:left w:val="none" w:sz="0" w:space="0" w:color="auto"/>
                <w:bottom w:val="none" w:sz="0" w:space="0" w:color="auto"/>
                <w:right w:val="none" w:sz="0" w:space="0" w:color="auto"/>
              </w:divBdr>
            </w:div>
            <w:div w:id="1115101523">
              <w:marLeft w:val="0"/>
              <w:marRight w:val="0"/>
              <w:marTop w:val="0"/>
              <w:marBottom w:val="0"/>
              <w:divBdr>
                <w:top w:val="none" w:sz="0" w:space="0" w:color="auto"/>
                <w:left w:val="none" w:sz="0" w:space="0" w:color="auto"/>
                <w:bottom w:val="none" w:sz="0" w:space="0" w:color="auto"/>
                <w:right w:val="none" w:sz="0" w:space="0" w:color="auto"/>
              </w:divBdr>
            </w:div>
            <w:div w:id="73940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038767">
      <w:bodyDiv w:val="1"/>
      <w:marLeft w:val="0"/>
      <w:marRight w:val="0"/>
      <w:marTop w:val="0"/>
      <w:marBottom w:val="0"/>
      <w:divBdr>
        <w:top w:val="none" w:sz="0" w:space="0" w:color="auto"/>
        <w:left w:val="none" w:sz="0" w:space="0" w:color="auto"/>
        <w:bottom w:val="none" w:sz="0" w:space="0" w:color="auto"/>
        <w:right w:val="none" w:sz="0" w:space="0" w:color="auto"/>
      </w:divBdr>
      <w:divsChild>
        <w:div w:id="810288387">
          <w:marLeft w:val="0"/>
          <w:marRight w:val="0"/>
          <w:marTop w:val="0"/>
          <w:marBottom w:val="0"/>
          <w:divBdr>
            <w:top w:val="none" w:sz="0" w:space="0" w:color="auto"/>
            <w:left w:val="none" w:sz="0" w:space="0" w:color="auto"/>
            <w:bottom w:val="none" w:sz="0" w:space="0" w:color="auto"/>
            <w:right w:val="none" w:sz="0" w:space="0" w:color="auto"/>
          </w:divBdr>
          <w:divsChild>
            <w:div w:id="801850891">
              <w:marLeft w:val="0"/>
              <w:marRight w:val="0"/>
              <w:marTop w:val="0"/>
              <w:marBottom w:val="0"/>
              <w:divBdr>
                <w:top w:val="none" w:sz="0" w:space="0" w:color="auto"/>
                <w:left w:val="none" w:sz="0" w:space="0" w:color="auto"/>
                <w:bottom w:val="none" w:sz="0" w:space="0" w:color="auto"/>
                <w:right w:val="none" w:sz="0" w:space="0" w:color="auto"/>
              </w:divBdr>
              <w:divsChild>
                <w:div w:id="72092107">
                  <w:marLeft w:val="0"/>
                  <w:marRight w:val="0"/>
                  <w:marTop w:val="0"/>
                  <w:marBottom w:val="0"/>
                  <w:divBdr>
                    <w:top w:val="none" w:sz="0" w:space="0" w:color="auto"/>
                    <w:left w:val="none" w:sz="0" w:space="0" w:color="auto"/>
                    <w:bottom w:val="none" w:sz="0" w:space="0" w:color="auto"/>
                    <w:right w:val="none" w:sz="0" w:space="0" w:color="auto"/>
                  </w:divBdr>
                  <w:divsChild>
                    <w:div w:id="1381251540">
                      <w:marLeft w:val="0"/>
                      <w:marRight w:val="0"/>
                      <w:marTop w:val="0"/>
                      <w:marBottom w:val="0"/>
                      <w:divBdr>
                        <w:top w:val="none" w:sz="0" w:space="0" w:color="auto"/>
                        <w:left w:val="none" w:sz="0" w:space="0" w:color="auto"/>
                        <w:bottom w:val="none" w:sz="0" w:space="0" w:color="auto"/>
                        <w:right w:val="none" w:sz="0" w:space="0" w:color="auto"/>
                      </w:divBdr>
                      <w:divsChild>
                        <w:div w:id="313678446">
                          <w:marLeft w:val="0"/>
                          <w:marRight w:val="0"/>
                          <w:marTop w:val="0"/>
                          <w:marBottom w:val="0"/>
                          <w:divBdr>
                            <w:top w:val="none" w:sz="0" w:space="0" w:color="auto"/>
                            <w:left w:val="none" w:sz="0" w:space="0" w:color="auto"/>
                            <w:bottom w:val="none" w:sz="0" w:space="0" w:color="auto"/>
                            <w:right w:val="none" w:sz="0" w:space="0" w:color="auto"/>
                          </w:divBdr>
                          <w:divsChild>
                            <w:div w:id="58673617">
                              <w:marLeft w:val="0"/>
                              <w:marRight w:val="0"/>
                              <w:marTop w:val="0"/>
                              <w:marBottom w:val="0"/>
                              <w:divBdr>
                                <w:top w:val="none" w:sz="0" w:space="0" w:color="auto"/>
                                <w:left w:val="none" w:sz="0" w:space="0" w:color="auto"/>
                                <w:bottom w:val="none" w:sz="0" w:space="0" w:color="auto"/>
                                <w:right w:val="none" w:sz="0" w:space="0" w:color="auto"/>
                              </w:divBdr>
                            </w:div>
                            <w:div w:id="1847090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4169199">
          <w:marLeft w:val="0"/>
          <w:marRight w:val="0"/>
          <w:marTop w:val="0"/>
          <w:marBottom w:val="0"/>
          <w:divBdr>
            <w:top w:val="none" w:sz="0" w:space="0" w:color="auto"/>
            <w:left w:val="none" w:sz="0" w:space="0" w:color="auto"/>
            <w:bottom w:val="none" w:sz="0" w:space="0" w:color="auto"/>
            <w:right w:val="none" w:sz="0" w:space="0" w:color="auto"/>
          </w:divBdr>
          <w:divsChild>
            <w:div w:id="1928878749">
              <w:marLeft w:val="0"/>
              <w:marRight w:val="0"/>
              <w:marTop w:val="0"/>
              <w:marBottom w:val="0"/>
              <w:divBdr>
                <w:top w:val="none" w:sz="0" w:space="0" w:color="auto"/>
                <w:left w:val="none" w:sz="0" w:space="0" w:color="auto"/>
                <w:bottom w:val="none" w:sz="0" w:space="0" w:color="auto"/>
                <w:right w:val="none" w:sz="0" w:space="0" w:color="auto"/>
              </w:divBdr>
              <w:divsChild>
                <w:div w:id="852762909">
                  <w:marLeft w:val="0"/>
                  <w:marRight w:val="0"/>
                  <w:marTop w:val="0"/>
                  <w:marBottom w:val="0"/>
                  <w:divBdr>
                    <w:top w:val="none" w:sz="0" w:space="0" w:color="auto"/>
                    <w:left w:val="none" w:sz="0" w:space="0" w:color="auto"/>
                    <w:bottom w:val="none" w:sz="0" w:space="0" w:color="auto"/>
                    <w:right w:val="none" w:sz="0" w:space="0" w:color="auto"/>
                  </w:divBdr>
                  <w:divsChild>
                    <w:div w:id="385108438">
                      <w:marLeft w:val="0"/>
                      <w:marRight w:val="0"/>
                      <w:marTop w:val="0"/>
                      <w:marBottom w:val="0"/>
                      <w:divBdr>
                        <w:top w:val="none" w:sz="0" w:space="0" w:color="auto"/>
                        <w:left w:val="none" w:sz="0" w:space="0" w:color="auto"/>
                        <w:bottom w:val="none" w:sz="0" w:space="0" w:color="auto"/>
                        <w:right w:val="none" w:sz="0" w:space="0" w:color="auto"/>
                      </w:divBdr>
                      <w:divsChild>
                        <w:div w:id="1460220939">
                          <w:marLeft w:val="0"/>
                          <w:marRight w:val="0"/>
                          <w:marTop w:val="0"/>
                          <w:marBottom w:val="0"/>
                          <w:divBdr>
                            <w:top w:val="none" w:sz="0" w:space="0" w:color="auto"/>
                            <w:left w:val="none" w:sz="0" w:space="0" w:color="auto"/>
                            <w:bottom w:val="none" w:sz="0" w:space="0" w:color="auto"/>
                            <w:right w:val="none" w:sz="0" w:space="0" w:color="auto"/>
                          </w:divBdr>
                        </w:div>
                        <w:div w:id="396904899">
                          <w:marLeft w:val="0"/>
                          <w:marRight w:val="0"/>
                          <w:marTop w:val="0"/>
                          <w:marBottom w:val="0"/>
                          <w:divBdr>
                            <w:top w:val="none" w:sz="0" w:space="0" w:color="auto"/>
                            <w:left w:val="none" w:sz="0" w:space="0" w:color="auto"/>
                            <w:bottom w:val="none" w:sz="0" w:space="0" w:color="auto"/>
                            <w:right w:val="none" w:sz="0" w:space="0" w:color="auto"/>
                          </w:divBdr>
                        </w:div>
                        <w:div w:id="830173846">
                          <w:marLeft w:val="0"/>
                          <w:marRight w:val="0"/>
                          <w:marTop w:val="0"/>
                          <w:marBottom w:val="0"/>
                          <w:divBdr>
                            <w:top w:val="none" w:sz="0" w:space="0" w:color="auto"/>
                            <w:left w:val="none" w:sz="0" w:space="0" w:color="auto"/>
                            <w:bottom w:val="none" w:sz="0" w:space="0" w:color="auto"/>
                            <w:right w:val="none" w:sz="0" w:space="0" w:color="auto"/>
                          </w:divBdr>
                          <w:divsChild>
                            <w:div w:id="1926575002">
                              <w:marLeft w:val="0"/>
                              <w:marRight w:val="0"/>
                              <w:marTop w:val="0"/>
                              <w:marBottom w:val="0"/>
                              <w:divBdr>
                                <w:top w:val="none" w:sz="0" w:space="0" w:color="auto"/>
                                <w:left w:val="none" w:sz="0" w:space="0" w:color="auto"/>
                                <w:bottom w:val="none" w:sz="0" w:space="0" w:color="auto"/>
                                <w:right w:val="none" w:sz="0" w:space="0" w:color="auto"/>
                              </w:divBdr>
                              <w:divsChild>
                                <w:div w:id="614560792">
                                  <w:marLeft w:val="0"/>
                                  <w:marRight w:val="0"/>
                                  <w:marTop w:val="0"/>
                                  <w:marBottom w:val="0"/>
                                  <w:divBdr>
                                    <w:top w:val="none" w:sz="0" w:space="0" w:color="auto"/>
                                    <w:left w:val="none" w:sz="0" w:space="0" w:color="auto"/>
                                    <w:bottom w:val="none" w:sz="0" w:space="0" w:color="auto"/>
                                    <w:right w:val="none" w:sz="0" w:space="0" w:color="auto"/>
                                  </w:divBdr>
                                </w:div>
                                <w:div w:id="643966491">
                                  <w:marLeft w:val="0"/>
                                  <w:marRight w:val="0"/>
                                  <w:marTop w:val="0"/>
                                  <w:marBottom w:val="0"/>
                                  <w:divBdr>
                                    <w:top w:val="none" w:sz="0" w:space="0" w:color="auto"/>
                                    <w:left w:val="none" w:sz="0" w:space="0" w:color="auto"/>
                                    <w:bottom w:val="none" w:sz="0" w:space="0" w:color="auto"/>
                                    <w:right w:val="none" w:sz="0" w:space="0" w:color="auto"/>
                                  </w:divBdr>
                                  <w:divsChild>
                                    <w:div w:id="1866287502">
                                      <w:marLeft w:val="0"/>
                                      <w:marRight w:val="0"/>
                                      <w:marTop w:val="0"/>
                                      <w:marBottom w:val="0"/>
                                      <w:divBdr>
                                        <w:top w:val="none" w:sz="0" w:space="0" w:color="auto"/>
                                        <w:left w:val="none" w:sz="0" w:space="0" w:color="auto"/>
                                        <w:bottom w:val="none" w:sz="0" w:space="0" w:color="auto"/>
                                        <w:right w:val="none" w:sz="0" w:space="0" w:color="auto"/>
                                      </w:divBdr>
                                    </w:div>
                                    <w:div w:id="1557207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89019596">
      <w:bodyDiv w:val="1"/>
      <w:marLeft w:val="0"/>
      <w:marRight w:val="0"/>
      <w:marTop w:val="0"/>
      <w:marBottom w:val="0"/>
      <w:divBdr>
        <w:top w:val="none" w:sz="0" w:space="0" w:color="auto"/>
        <w:left w:val="none" w:sz="0" w:space="0" w:color="auto"/>
        <w:bottom w:val="none" w:sz="0" w:space="0" w:color="auto"/>
        <w:right w:val="none" w:sz="0" w:space="0" w:color="auto"/>
      </w:divBdr>
      <w:divsChild>
        <w:div w:id="2049527188">
          <w:marLeft w:val="0"/>
          <w:marRight w:val="0"/>
          <w:marTop w:val="0"/>
          <w:marBottom w:val="0"/>
          <w:divBdr>
            <w:top w:val="none" w:sz="0" w:space="0" w:color="auto"/>
            <w:left w:val="none" w:sz="0" w:space="0" w:color="auto"/>
            <w:bottom w:val="none" w:sz="0" w:space="0" w:color="auto"/>
            <w:right w:val="none" w:sz="0" w:space="0" w:color="auto"/>
          </w:divBdr>
          <w:divsChild>
            <w:div w:id="1963346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928541">
      <w:bodyDiv w:val="1"/>
      <w:marLeft w:val="0"/>
      <w:marRight w:val="0"/>
      <w:marTop w:val="0"/>
      <w:marBottom w:val="0"/>
      <w:divBdr>
        <w:top w:val="none" w:sz="0" w:space="0" w:color="auto"/>
        <w:left w:val="none" w:sz="0" w:space="0" w:color="auto"/>
        <w:bottom w:val="none" w:sz="0" w:space="0" w:color="auto"/>
        <w:right w:val="none" w:sz="0" w:space="0" w:color="auto"/>
      </w:divBdr>
      <w:divsChild>
        <w:div w:id="1189637026">
          <w:marLeft w:val="0"/>
          <w:marRight w:val="0"/>
          <w:marTop w:val="0"/>
          <w:marBottom w:val="0"/>
          <w:divBdr>
            <w:top w:val="none" w:sz="0" w:space="0" w:color="auto"/>
            <w:left w:val="none" w:sz="0" w:space="0" w:color="auto"/>
            <w:bottom w:val="none" w:sz="0" w:space="0" w:color="auto"/>
            <w:right w:val="none" w:sz="0" w:space="0" w:color="auto"/>
          </w:divBdr>
        </w:div>
        <w:div w:id="8775928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gif"/><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https://theautomationblog.com/author/danstaifer/" TargetMode="External"/><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hyperlink" Target="https://theautomationblog.com/wp-content/uploads/2020/10/TheAutomationBlog-20-10-ImageBy-Dan-Staifer-Fi.png" TargetMode="External"/><Relationship Id="rId47" Type="http://schemas.openxmlformats.org/officeDocument/2006/relationships/image" Target="media/image31.jpeg"/><Relationship Id="rId50" Type="http://schemas.openxmlformats.org/officeDocument/2006/relationships/hyperlink" Target="https://theautomationblog.com/wp-content/uploads/2020/10/TheAutomationBlog-20-10-ImageBy-Dan-Staifer-SystemConfig.jpg" TargetMode="External"/><Relationship Id="rId55" Type="http://schemas.openxmlformats.org/officeDocument/2006/relationships/image" Target="media/image35.jpeg"/><Relationship Id="rId63" Type="http://schemas.openxmlformats.org/officeDocument/2006/relationships/image" Target="media/image39.jpeg"/><Relationship Id="rId68" Type="http://schemas.openxmlformats.org/officeDocument/2006/relationships/hyperlink" Target="https://theautomationblog.com/media-guide" TargetMode="External"/><Relationship Id="rId7" Type="http://schemas.openxmlformats.org/officeDocument/2006/relationships/image" Target="media/image2.png"/><Relationship Id="rId71" Type="http://schemas.openxmlformats.org/officeDocument/2006/relationships/hyperlink" Target="https://theautomationblog.com/setup-fanuc-ethernet-io-with-studio-5000/" TargetMode="External"/><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hyperlink" Target="https://support.cognex.com/docs/is_574/web/EN/ise/Content/Communications_Reference/ElectronicDataSheets.htm"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6.png"/><Relationship Id="rId40" Type="http://schemas.openxmlformats.org/officeDocument/2006/relationships/hyperlink" Target="https://theautomationblog.com/product/ultimate-a-b-online-course-bundle/" TargetMode="External"/><Relationship Id="rId45" Type="http://schemas.openxmlformats.org/officeDocument/2006/relationships/image" Target="media/image30.jpeg"/><Relationship Id="rId53" Type="http://schemas.openxmlformats.org/officeDocument/2006/relationships/image" Target="media/image34.jpeg"/><Relationship Id="rId58" Type="http://schemas.openxmlformats.org/officeDocument/2006/relationships/hyperlink" Target="https://theautomationblog.com/wp-content/uploads/2020/10/TheAutomationBlog-20-10-ImageBy-Dan-Staifer-GenericModule.jpg" TargetMode="External"/><Relationship Id="rId66" Type="http://schemas.openxmlformats.org/officeDocument/2006/relationships/hyperlink" Target="https://automation.locals.com" TargetMode="External"/><Relationship Id="rId74" Type="http://schemas.openxmlformats.org/officeDocument/2006/relationships/fontTable" Target="fontTable.xml"/><Relationship Id="rId5" Type="http://schemas.openxmlformats.org/officeDocument/2006/relationships/hyperlink" Target="https://support.cognex.com/docs/is_574/web/EN/ise/Content/Communications_Reference/EIP_Communications.htm" TargetMode="Externa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yperlink" Target="https://support.cognex.com/docs/dmst_616SR1/web/EN/Industrial_Protocols_Manual/Content/Topics/PDF/DIPM/TIA.htm?tocpath=Industrial%20Network%20Protocols%7CPROFINET%7C_____4" TargetMode="External"/><Relationship Id="rId49" Type="http://schemas.openxmlformats.org/officeDocument/2006/relationships/image" Target="media/image32.jpeg"/><Relationship Id="rId57" Type="http://schemas.openxmlformats.org/officeDocument/2006/relationships/image" Target="media/image36.jpeg"/><Relationship Id="rId61" Type="http://schemas.openxmlformats.org/officeDocument/2006/relationships/image" Target="media/image38.jpeg"/><Relationship Id="rId10" Type="http://schemas.openxmlformats.org/officeDocument/2006/relationships/hyperlink" Target="https://support.cognex.com/docs/is_574/web/EN/ise/Content/Communications_Reference/EIP_Rockwell_GEM_L5XImport.htm" TargetMode="Externa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hyperlink" Target="https://theautomationblog.com/wp-content/uploads/2020/10/TheAutomationBlog-20-10-ImageBy-Dan-Staifer-FanucOptionCompare.jpg" TargetMode="External"/><Relationship Id="rId52" Type="http://schemas.openxmlformats.org/officeDocument/2006/relationships/hyperlink" Target="https://theautomationblog.com/wp-content/uploads/2020/10/TheAutomationBlog-20-10-ImageBy-Dan-Staifer-Setup-Host-Comm.jpg" TargetMode="External"/><Relationship Id="rId60" Type="http://schemas.openxmlformats.org/officeDocument/2006/relationships/hyperlink" Target="https://theautomationblog.com/wp-content/uploads/2020/10/TheAutomationBlog-20-10-ImageBy-Dan-Staifer-Module-Properties.jpg" TargetMode="External"/><Relationship Id="rId65" Type="http://schemas.openxmlformats.org/officeDocument/2006/relationships/image" Target="media/image40.jpeg"/><Relationship Id="rId73" Type="http://schemas.openxmlformats.org/officeDocument/2006/relationships/hyperlink" Target="https://theautomationblog.com/author/danstaifer/" TargetMode="External"/><Relationship Id="rId4" Type="http://schemas.openxmlformats.org/officeDocument/2006/relationships/webSettings" Target="webSettings.xml"/><Relationship Id="rId9" Type="http://schemas.openxmlformats.org/officeDocument/2006/relationships/hyperlink" Target="https://support.cognex.com/docs/is_574/web/EN/ise/Content/Communications_Reference/EIP_Rockwell_EDS_L5XImport.htm" TargetMode="External"/><Relationship Id="rId14" Type="http://schemas.openxmlformats.org/officeDocument/2006/relationships/image" Target="media/image5.gi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image" Target="media/image29.png"/><Relationship Id="rId48" Type="http://schemas.openxmlformats.org/officeDocument/2006/relationships/hyperlink" Target="https://theautomationblog.com/wp-content/uploads/2020/10/TheAutomationBlog-20-10-ImageBy-Dan-Staifer-AdapterConfig.jpg" TargetMode="External"/><Relationship Id="rId56" Type="http://schemas.openxmlformats.org/officeDocument/2006/relationships/hyperlink" Target="https://theautomationblog.com/wp-content/uploads/2020/10/TheAutomationBlog-20-10-ImageBy-Dan-Staifer-RSlinx.jpg" TargetMode="External"/><Relationship Id="rId64" Type="http://schemas.openxmlformats.org/officeDocument/2006/relationships/hyperlink" Target="https://theautomationblog.com/wp-content/uploads/2020/10/TheAutomationBlog-20-10-ImageBy-Dan-Staifer-SystemConfig_Remote.jpg" TargetMode="External"/><Relationship Id="rId69" Type="http://schemas.openxmlformats.org/officeDocument/2006/relationships/hyperlink" Target="https://insightsinautomation.com/contact/" TargetMode="External"/><Relationship Id="rId8" Type="http://schemas.openxmlformats.org/officeDocument/2006/relationships/image" Target="media/image3.jpeg"/><Relationship Id="rId51" Type="http://schemas.openxmlformats.org/officeDocument/2006/relationships/image" Target="media/image33.jpeg"/><Relationship Id="rId72" Type="http://schemas.openxmlformats.org/officeDocument/2006/relationships/image" Target="media/image41.jpeg"/><Relationship Id="rId3" Type="http://schemas.openxmlformats.org/officeDocument/2006/relationships/settings" Target="settings.xml"/><Relationship Id="rId12" Type="http://schemas.openxmlformats.org/officeDocument/2006/relationships/hyperlink" Target="https://support.cognex.com/docs/is_574/web/EN/ise/Content/Communications_Reference/EIP_Rockwell_AOPInstall4xx.htm" TargetMode="Externa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s://support.cognex.com/docs/dmst_616SR1/web/EN/Industrial_Protocols_Manual/Content/Topics/PDF/DIPM/TIA.htm?tocpath=Industrial%20Network%20Protocols%7CPROFINET%7C_____4" TargetMode="External"/><Relationship Id="rId38" Type="http://schemas.openxmlformats.org/officeDocument/2006/relationships/image" Target="media/image27.png"/><Relationship Id="rId46" Type="http://schemas.openxmlformats.org/officeDocument/2006/relationships/hyperlink" Target="https://theautomationblog.com/product/pac-basics-extended-online-course/" TargetMode="External"/><Relationship Id="rId59" Type="http://schemas.openxmlformats.org/officeDocument/2006/relationships/image" Target="media/image37.jpeg"/><Relationship Id="rId67" Type="http://schemas.openxmlformats.org/officeDocument/2006/relationships/hyperlink" Target="https://www.TheAutomationSchool.com" TargetMode="External"/><Relationship Id="rId20" Type="http://schemas.openxmlformats.org/officeDocument/2006/relationships/image" Target="media/image11.png"/><Relationship Id="rId41" Type="http://schemas.openxmlformats.org/officeDocument/2006/relationships/image" Target="media/image28.jpeg"/><Relationship Id="rId54" Type="http://schemas.openxmlformats.org/officeDocument/2006/relationships/hyperlink" Target="https://theautomationblog.com/wp-content/uploads/2020/10/TheAutomationBlog-20-10-ImageBy-Dan-Staifer-IOEthernetConfig.jpg" TargetMode="External"/><Relationship Id="rId62" Type="http://schemas.openxmlformats.org/officeDocument/2006/relationships/hyperlink" Target="https://theautomationblog.com/wp-content/uploads/2020/10/TheAutomationBlog-20-10-ImageBy-Dan-Staifer-FanucTags.jpg" TargetMode="External"/><Relationship Id="rId70" Type="http://schemas.openxmlformats.org/officeDocument/2006/relationships/hyperlink" Target="https://theautomationblog.com/setup-fanuc-ethernet-io-with-studio-5000/" TargetMode="External"/><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461</TotalTime>
  <Pages>1</Pages>
  <Words>2636</Words>
  <Characters>15029</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17630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evans</dc:creator>
  <cp:keywords/>
  <dc:description/>
  <cp:lastModifiedBy>william evans</cp:lastModifiedBy>
  <cp:revision>5</cp:revision>
  <dcterms:created xsi:type="dcterms:W3CDTF">2024-03-26T00:42:00Z</dcterms:created>
  <dcterms:modified xsi:type="dcterms:W3CDTF">2024-03-26T10:08:00Z</dcterms:modified>
</cp:coreProperties>
</file>